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480" w:after="80"/>
      </w:pPr>
      <w:r>
        <w:rPr>
          <w:rFonts w:ascii="Arial" w:cs="Arial" w:eastAsia="Arial" w:hAnsi="Arial"/>
          <w:b/>
          <w:bCs/>
          <w:color w:val="6B7280"/>
          <w:sz w:val="28"/>
          <w:szCs w:val="28"/>
        </w:rPr>
        <w:t xml:space="preserve">USA Clean</w:t>
      </w:r>
    </w:p>
    <w:p>
      <w:pPr>
        <w:spacing w:after="120"/>
      </w:pPr>
      <w:r>
        <w:rPr>
          <w:rFonts w:ascii="Arial" w:cs="Arial" w:eastAsia="Arial" w:hAnsi="Arial"/>
          <w:b/>
          <w:bCs/>
          <w:color w:val="1B3A6B"/>
          <w:sz w:val="52"/>
          <w:szCs w:val="52"/>
        </w:rPr>
        <w:t xml:space="preserve">Site IA &amp; Search Enhancement Plan</w:t>
      </w:r>
    </w:p>
    <w:p>
      <w:pPr>
        <w:spacing w:after="80"/>
      </w:pPr>
      <w:r>
        <w:rPr>
          <w:rFonts w:ascii="Arial" w:cs="Arial" w:eastAsia="Arial" w:hAnsi="Arial"/>
          <w:color w:val="2563EB"/>
          <w:sz w:val="26"/>
          <w:szCs w:val="26"/>
        </w:rPr>
        <w:t xml:space="preserve">Information Architecture • Navigation • Search</w:t>
      </w:r>
    </w:p>
    <w:p>
      <w:pPr>
        <w:spacing w:after="600"/>
      </w:pPr>
      <w:r>
        <w:rPr>
          <w:rFonts w:ascii="Arial" w:cs="Arial" w:eastAsia="Arial" w:hAnsi="Arial"/>
          <w:color w:val="6B7280"/>
          <w:sz w:val="20"/>
          <w:szCs w:val="20"/>
        </w:rPr>
        <w:t xml:space="preserve">March 2026  —  Based on Clarity session data (Mar 16–18) &amp; live site audit</w:t>
      </w:r>
    </w:p>
    <w:p>
      <w:pPr>
        <w:pStyle w:val="Heading1"/>
        <w:spacing w:before="360" w:after="160"/>
      </w:pPr>
      <w:r>
        <w:rPr>
          <w:rFonts w:ascii="Arial" w:cs="Arial" w:eastAsia="Arial" w:hAnsi="Arial"/>
          <w:b/>
          <w:bCs/>
          <w:color w:val="1B3A6B"/>
          <w:sz w:val="36"/>
          <w:szCs w:val="36"/>
        </w:rPr>
        <w:t xml:space="preserve">Session data snapshot</w:t>
      </w:r>
    </w:p>
    <w:p>
      <w:pPr>
        <w:spacing w:after="100" w:before="0"/>
      </w:pPr>
      <w:r>
        <w:rPr>
          <w:rFonts w:ascii="Arial" w:cs="Arial" w:eastAsia="Arial" w:hAnsi="Arial"/>
          <w:color w:val="111827"/>
          <w:sz w:val="22"/>
          <w:szCs w:val="22"/>
        </w:rPr>
        <w:t xml:space="preserve">Three-day Clarity export (Mar 16–18, 2026) across 10,030 sessions.</w:t>
      </w:r>
    </w:p>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c>
          <w:tcPr>
            <w:tcBorders>
              <w:top w:val="single" w:color="D1D5DB" w:sz="1"/>
              <w:left w:val="single" w:color="D1D5DB" w:sz="1"/>
              <w:bottom w:val="single" w:color="D1D5DB" w:sz="1"/>
              <w:right w:val="single" w:color="D1D5DB" w:sz="1"/>
            </w:tcBorders>
            <w:shd w:fill="DBEAFE" w:val="clear"/>
            <w:tcMar>
              <w:top w:type="dxa" w:w="120"/>
              <w:left w:type="dxa" w:w="180"/>
              <w:bottom w:type="dxa" w:w="120"/>
              <w:right w:type="dxa" w:w="180"/>
            </w:tcMar>
            <w:vAlign w:val="top"/>
          </w:tcPr>
          <w:p>
            <w:pPr>
              <w:spacing w:after="40"/>
            </w:pPr>
            <w:r>
              <w:rPr>
                <w:rFonts w:ascii="Arial" w:cs="Arial" w:eastAsia="Arial" w:hAnsi="Arial"/>
                <w:color w:val="6B7280"/>
                <w:sz w:val="18"/>
                <w:szCs w:val="18"/>
              </w:rPr>
              <w:t xml:space="preserve">Total sessions</w:t>
            </w:r>
          </w:p>
          <w:p>
            <w:pPr>
              <w:spacing w:after="40"/>
            </w:pPr>
            <w:r>
              <w:rPr>
                <w:rFonts w:ascii="Arial" w:cs="Arial" w:eastAsia="Arial" w:hAnsi="Arial"/>
                <w:b/>
                <w:bCs/>
                <w:color w:val="1B3A6B"/>
                <w:sz w:val="36"/>
                <w:szCs w:val="36"/>
              </w:rPr>
              <w:t xml:space="preserve">10,030</w:t>
            </w:r>
          </w:p>
          <w:p>
            <w:pPr>
              <w:spacing w:after="0"/>
            </w:pPr>
            <w:r>
              <w:rPr>
                <w:rFonts w:ascii="Arial" w:cs="Arial" w:eastAsia="Arial" w:hAnsi="Arial"/>
                <w:color w:val="6B7280"/>
                <w:sz w:val="18"/>
                <w:szCs w:val="18"/>
              </w:rPr>
              <w:t xml:space="preserve">3-day window</w:t>
            </w:r>
          </w:p>
        </w:tc>
        <w:tc>
          <w:tcPr>
            <w:tcBorders>
              <w:top w:val="single" w:color="D1D5DB" w:sz="1"/>
              <w:left w:val="single" w:color="D1D5DB" w:sz="1"/>
              <w:bottom w:val="single" w:color="D1D5DB" w:sz="1"/>
              <w:right w:val="single" w:color="D1D5DB" w:sz="1"/>
            </w:tcBorders>
            <w:shd w:fill="DBEAFE" w:val="clear"/>
            <w:tcMar>
              <w:top w:type="dxa" w:w="120"/>
              <w:left w:type="dxa" w:w="180"/>
              <w:bottom w:type="dxa" w:w="120"/>
              <w:right w:type="dxa" w:w="180"/>
            </w:tcMar>
            <w:vAlign w:val="top"/>
          </w:tcPr>
          <w:p>
            <w:pPr>
              <w:spacing w:after="40"/>
            </w:pPr>
            <w:r>
              <w:rPr>
                <w:rFonts w:ascii="Arial" w:cs="Arial" w:eastAsia="Arial" w:hAnsi="Arial"/>
                <w:color w:val="6B7280"/>
                <w:sz w:val="18"/>
                <w:szCs w:val="18"/>
              </w:rPr>
              <w:t xml:space="preserve">Unique users</w:t>
            </w:r>
          </w:p>
          <w:p>
            <w:pPr>
              <w:spacing w:after="40"/>
            </w:pPr>
            <w:r>
              <w:rPr>
                <w:rFonts w:ascii="Arial" w:cs="Arial" w:eastAsia="Arial" w:hAnsi="Arial"/>
                <w:b/>
                <w:bCs/>
                <w:color w:val="1B3A6B"/>
                <w:sz w:val="36"/>
                <w:szCs w:val="36"/>
              </w:rPr>
              <w:t xml:space="preserve">7,014</w:t>
            </w:r>
          </w:p>
          <w:p>
            <w:pPr>
              <w:spacing w:after="0"/>
            </w:pPr>
            <w:r>
              <w:rPr>
                <w:rFonts w:ascii="Arial" w:cs="Arial" w:eastAsia="Arial" w:hAnsi="Arial"/>
                <w:color w:val="6B7280"/>
                <w:sz w:val="18"/>
                <w:szCs w:val="18"/>
              </w:rPr>
              <w:t xml:space="preserve">61% new / 39% returning</w:t>
            </w:r>
          </w:p>
        </w:tc>
        <w:tc>
          <w:tcPr>
            <w:tcBorders>
              <w:top w:val="single" w:color="D1D5DB" w:sz="1"/>
              <w:left w:val="single" w:color="D1D5DB" w:sz="1"/>
              <w:bottom w:val="single" w:color="D1D5DB" w:sz="1"/>
              <w:right w:val="single" w:color="D1D5DB" w:sz="1"/>
            </w:tcBorders>
            <w:shd w:fill="DBEAFE" w:val="clear"/>
            <w:tcMar>
              <w:top w:type="dxa" w:w="120"/>
              <w:left w:type="dxa" w:w="180"/>
              <w:bottom w:type="dxa" w:w="120"/>
              <w:right w:type="dxa" w:w="180"/>
            </w:tcMar>
            <w:vAlign w:val="top"/>
          </w:tcPr>
          <w:p>
            <w:pPr>
              <w:spacing w:after="40"/>
            </w:pPr>
            <w:r>
              <w:rPr>
                <w:rFonts w:ascii="Arial" w:cs="Arial" w:eastAsia="Arial" w:hAnsi="Arial"/>
                <w:color w:val="6B7280"/>
                <w:sz w:val="18"/>
                <w:szCs w:val="18"/>
              </w:rPr>
              <w:t xml:space="preserve">Pages per session</w:t>
            </w:r>
          </w:p>
          <w:p>
            <w:pPr>
              <w:spacing w:after="40"/>
            </w:pPr>
            <w:r>
              <w:rPr>
                <w:rFonts w:ascii="Arial" w:cs="Arial" w:eastAsia="Arial" w:hAnsi="Arial"/>
                <w:b/>
                <w:bCs/>
                <w:color w:val="1B3A6B"/>
                <w:sz w:val="36"/>
                <w:szCs w:val="36"/>
              </w:rPr>
              <w:t xml:space="preserve">4.14</w:t>
            </w:r>
          </w:p>
          <w:p>
            <w:pPr>
              <w:spacing w:after="0"/>
            </w:pPr>
            <w:r>
              <w:rPr>
                <w:rFonts w:ascii="Arial" w:cs="Arial" w:eastAsia="Arial" w:hAnsi="Arial"/>
                <w:color w:val="6B7280"/>
                <w:sz w:val="18"/>
                <w:szCs w:val="18"/>
              </w:rPr>
              <w:t xml:space="preserve">Moderate depth</w:t>
            </w:r>
          </w:p>
        </w:tc>
        <w:tc>
          <w:tcPr>
            <w:tcBorders>
              <w:top w:val="single" w:color="D1D5DB" w:sz="1"/>
              <w:left w:val="single" w:color="D1D5DB" w:sz="1"/>
              <w:bottom w:val="single" w:color="D1D5DB" w:sz="1"/>
              <w:right w:val="single" w:color="D1D5DB" w:sz="1"/>
            </w:tcBorders>
            <w:shd w:fill="DBEAFE" w:val="clear"/>
            <w:tcMar>
              <w:top w:type="dxa" w:w="120"/>
              <w:left w:type="dxa" w:w="180"/>
              <w:bottom w:type="dxa" w:w="120"/>
              <w:right w:type="dxa" w:w="180"/>
            </w:tcMar>
            <w:vAlign w:val="top"/>
          </w:tcPr>
          <w:p>
            <w:pPr>
              <w:spacing w:after="40"/>
            </w:pPr>
            <w:r>
              <w:rPr>
                <w:rFonts w:ascii="Arial" w:cs="Arial" w:eastAsia="Arial" w:hAnsi="Arial"/>
                <w:color w:val="6B7280"/>
                <w:sz w:val="18"/>
                <w:szCs w:val="18"/>
              </w:rPr>
              <w:t xml:space="preserve">Mobile traffic</w:t>
            </w:r>
          </w:p>
          <w:p>
            <w:pPr>
              <w:spacing w:after="40"/>
            </w:pPr>
            <w:r>
              <w:rPr>
                <w:rFonts w:ascii="Arial" w:cs="Arial" w:eastAsia="Arial" w:hAnsi="Arial"/>
                <w:b/>
                <w:bCs/>
                <w:color w:val="1B3A6B"/>
                <w:sz w:val="36"/>
                <w:szCs w:val="36"/>
              </w:rPr>
              <w:t xml:space="preserve">37%</w:t>
            </w:r>
          </w:p>
          <w:p>
            <w:pPr>
              <w:spacing w:after="0"/>
            </w:pPr>
            <w:r>
              <w:rPr>
                <w:rFonts w:ascii="Arial" w:cs="Arial" w:eastAsia="Arial" w:hAnsi="Arial"/>
                <w:color w:val="6B7280"/>
                <w:sz w:val="18"/>
                <w:szCs w:val="18"/>
              </w:rPr>
              <w:t xml:space="preserve">MobileSafari + ChromeMobile</w:t>
            </w:r>
          </w:p>
        </w:tc>
      </w:tr>
      <w:tr>
        <w:tc>
          <w:tcPr>
            <w:tcBorders>
              <w:top w:val="single" w:color="D1D5DB" w:sz="1"/>
              <w:left w:val="single" w:color="D1D5DB" w:sz="1"/>
              <w:bottom w:val="single" w:color="D1D5DB" w:sz="1"/>
              <w:right w:val="single" w:color="D1D5DB" w:sz="1"/>
            </w:tcBorders>
            <w:shd w:fill="FEE2E2" w:val="clear"/>
            <w:tcMar>
              <w:top w:type="dxa" w:w="120"/>
              <w:left w:type="dxa" w:w="180"/>
              <w:bottom w:type="dxa" w:w="120"/>
              <w:right w:type="dxa" w:w="180"/>
            </w:tcMar>
            <w:vAlign w:val="top"/>
          </w:tcPr>
          <w:p>
            <w:pPr>
              <w:spacing w:after="40"/>
            </w:pPr>
            <w:r>
              <w:rPr>
                <w:rFonts w:ascii="Arial" w:cs="Arial" w:eastAsia="Arial" w:hAnsi="Arial"/>
                <w:color w:val="6B7280"/>
                <w:sz w:val="18"/>
                <w:szCs w:val="18"/>
              </w:rPr>
              <w:t xml:space="preserve">Search sessions</w:t>
            </w:r>
          </w:p>
          <w:p>
            <w:pPr>
              <w:spacing w:after="40"/>
            </w:pPr>
            <w:r>
              <w:rPr>
                <w:rFonts w:ascii="Arial" w:cs="Arial" w:eastAsia="Arial" w:hAnsi="Arial"/>
                <w:b/>
                <w:bCs/>
                <w:color w:val="DC2626"/>
                <w:sz w:val="36"/>
                <w:szCs w:val="36"/>
              </w:rPr>
              <w:t xml:space="preserve">32.1%</w:t>
            </w:r>
          </w:p>
          <w:p>
            <w:pPr>
              <w:spacing w:after="0"/>
            </w:pPr>
            <w:r>
              <w:rPr>
                <w:rFonts w:ascii="Arial" w:cs="Arial" w:eastAsia="Arial" w:hAnsi="Arial"/>
                <w:color w:val="6B7280"/>
                <w:sz w:val="18"/>
                <w:szCs w:val="18"/>
              </w:rPr>
              <w:t xml:space="preserve">3,221 — #1 page on site</w:t>
            </w:r>
          </w:p>
        </w:tc>
        <w:tc>
          <w:tcPr>
            <w:tcBorders>
              <w:top w:val="single" w:color="D1D5DB" w:sz="1"/>
              <w:left w:val="single" w:color="D1D5DB" w:sz="1"/>
              <w:bottom w:val="single" w:color="D1D5DB" w:sz="1"/>
              <w:right w:val="single" w:color="D1D5DB" w:sz="1"/>
            </w:tcBorders>
            <w:shd w:fill="F3F4F6" w:val="clear"/>
            <w:tcMar>
              <w:top w:type="dxa" w:w="120"/>
              <w:left w:type="dxa" w:w="180"/>
              <w:bottom w:type="dxa" w:w="120"/>
              <w:right w:type="dxa" w:w="180"/>
            </w:tcMar>
            <w:vAlign w:val="top"/>
          </w:tcPr>
          <w:p>
            <w:pPr>
              <w:spacing w:after="40"/>
            </w:pPr>
            <w:r>
              <w:rPr>
                <w:rFonts w:ascii="Arial" w:cs="Arial" w:eastAsia="Arial" w:hAnsi="Arial"/>
                <w:color w:val="6B7280"/>
                <w:sz w:val="18"/>
                <w:szCs w:val="18"/>
              </w:rPr>
              <w:t xml:space="preserve">Browse landing</w:t>
            </w:r>
          </w:p>
          <w:p>
            <w:pPr>
              <w:spacing w:after="40"/>
            </w:pPr>
            <w:r>
              <w:rPr>
                <w:rFonts w:ascii="Arial" w:cs="Arial" w:eastAsia="Arial" w:hAnsi="Arial"/>
                <w:b/>
                <w:bCs/>
                <w:color w:val="6B7280"/>
                <w:sz w:val="36"/>
                <w:szCs w:val="36"/>
              </w:rPr>
              <w:t xml:space="preserve">3.3%</w:t>
            </w:r>
          </w:p>
          <w:p>
            <w:pPr>
              <w:spacing w:after="0"/>
            </w:pPr>
            <w:r>
              <w:rPr>
                <w:rFonts w:ascii="Arial" w:cs="Arial" w:eastAsia="Arial" w:hAnsi="Arial"/>
                <w:color w:val="6B7280"/>
                <w:sz w:val="18"/>
                <w:szCs w:val="18"/>
              </w:rPr>
              <w:t xml:space="preserve">329 sessions on /parts-and-supplies/</w:t>
            </w:r>
          </w:p>
        </w:tc>
        <w:tc>
          <w:tcPr>
            <w:tcBorders>
              <w:top w:val="single" w:color="D1D5DB" w:sz="1"/>
              <w:left w:val="single" w:color="D1D5DB" w:sz="1"/>
              <w:bottom w:val="single" w:color="D1D5DB" w:sz="1"/>
              <w:right w:val="single" w:color="D1D5DB" w:sz="1"/>
            </w:tcBorders>
            <w:shd w:fill="FEE2E2" w:val="clear"/>
            <w:tcMar>
              <w:top w:type="dxa" w:w="120"/>
              <w:left w:type="dxa" w:w="180"/>
              <w:bottom w:type="dxa" w:w="120"/>
              <w:right w:type="dxa" w:w="180"/>
            </w:tcMar>
            <w:vAlign w:val="top"/>
          </w:tcPr>
          <w:p>
            <w:pPr>
              <w:spacing w:after="40"/>
            </w:pPr>
            <w:r>
              <w:rPr>
                <w:rFonts w:ascii="Arial" w:cs="Arial" w:eastAsia="Arial" w:hAnsi="Arial"/>
                <w:color w:val="6B7280"/>
                <w:sz w:val="18"/>
                <w:szCs w:val="18"/>
              </w:rPr>
              <w:t xml:space="preserve">Search : Browse</w:t>
            </w:r>
          </w:p>
          <w:p>
            <w:pPr>
              <w:spacing w:after="40"/>
            </w:pPr>
            <w:r>
              <w:rPr>
                <w:rFonts w:ascii="Arial" w:cs="Arial" w:eastAsia="Arial" w:hAnsi="Arial"/>
                <w:b/>
                <w:bCs/>
                <w:color w:val="DC2626"/>
                <w:sz w:val="36"/>
                <w:szCs w:val="36"/>
              </w:rPr>
              <w:t xml:space="preserve">9.8×</w:t>
            </w:r>
          </w:p>
          <w:p>
            <w:pPr>
              <w:spacing w:after="0"/>
            </w:pPr>
            <w:r>
              <w:rPr>
                <w:rFonts w:ascii="Arial" w:cs="Arial" w:eastAsia="Arial" w:hAnsi="Arial"/>
                <w:color w:val="6B7280"/>
                <w:sz w:val="18"/>
                <w:szCs w:val="18"/>
              </w:rPr>
              <w:t xml:space="preserve">Search is the de facto nav</w:t>
            </w:r>
          </w:p>
        </w:tc>
        <w:tc>
          <w:tcPr>
            <w:tcBorders>
              <w:top w:val="single" w:color="D1D5DB" w:sz="1"/>
              <w:left w:val="single" w:color="D1D5DB" w:sz="1"/>
              <w:bottom w:val="single" w:color="D1D5DB" w:sz="1"/>
              <w:right w:val="single" w:color="D1D5DB" w:sz="1"/>
            </w:tcBorders>
            <w:shd w:fill="FEF3C7" w:val="clear"/>
            <w:tcMar>
              <w:top w:type="dxa" w:w="120"/>
              <w:left w:type="dxa" w:w="180"/>
              <w:bottom w:type="dxa" w:w="120"/>
              <w:right w:type="dxa" w:w="180"/>
            </w:tcMar>
            <w:vAlign w:val="top"/>
          </w:tcPr>
          <w:p>
            <w:pPr>
              <w:spacing w:after="40"/>
            </w:pPr>
            <w:r>
              <w:rPr>
                <w:rFonts w:ascii="Arial" w:cs="Arial" w:eastAsia="Arial" w:hAnsi="Arial"/>
                <w:color w:val="6B7280"/>
                <w:sz w:val="18"/>
                <w:szCs w:val="18"/>
              </w:rPr>
              <w:t xml:space="preserve">Quick back clicks</w:t>
            </w:r>
          </w:p>
          <w:p>
            <w:pPr>
              <w:spacing w:after="40"/>
            </w:pPr>
            <w:r>
              <w:rPr>
                <w:rFonts w:ascii="Arial" w:cs="Arial" w:eastAsia="Arial" w:hAnsi="Arial"/>
                <w:b/>
                <w:bCs/>
                <w:color w:val="D97706"/>
                <w:sz w:val="36"/>
                <w:szCs w:val="36"/>
              </w:rPr>
              <w:t xml:space="preserve">25.6%</w:t>
            </w:r>
          </w:p>
          <w:p>
            <w:pPr>
              <w:spacing w:after="0"/>
            </w:pPr>
            <w:r>
              <w:rPr>
                <w:rFonts w:ascii="Arial" w:cs="Arial" w:eastAsia="Arial" w:hAnsi="Arial"/>
                <w:color w:val="6B7280"/>
                <w:sz w:val="18"/>
                <w:szCs w:val="18"/>
              </w:rPr>
              <w:t xml:space="preserve">2,565 sessions — taxonomy signal</w:t>
            </w:r>
          </w:p>
        </w:tc>
      </w:tr>
    </w:tbl>
    <w:p>
      <w:pPr>
        <w:spacing w:after="200"/>
      </w:pPr>
    </w:p>
    <w:p>
      <w:pPr>
        <w:pStyle w:val="Heading1"/>
        <w:spacing w:before="360" w:after="160"/>
      </w:pPr>
      <w:r>
        <w:rPr>
          <w:rFonts w:ascii="Arial" w:cs="Arial" w:eastAsia="Arial" w:hAnsi="Arial"/>
          <w:b/>
          <w:bCs/>
          <w:color w:val="1B3A6B"/>
          <w:sz w:val="36"/>
          <w:szCs w:val="36"/>
        </w:rPr>
        <w:t xml:space="preserve">Key findings</w:t>
      </w:r>
    </w:p>
    <w:p>
      <w:pPr>
        <w:pStyle w:val="Heading2"/>
        <w:spacing w:before="280" w:after="120"/>
      </w:pPr>
      <w:r>
        <w:rPr>
          <w:rFonts w:ascii="Arial" w:cs="Arial" w:eastAsia="Arial" w:hAnsi="Arial"/>
          <w:b/>
          <w:bCs/>
          <w:color w:val="1B3A6B"/>
          <w:sz w:val="28"/>
          <w:szCs w:val="28"/>
        </w:rPr>
        <w:t xml:space="preserve">1. Search is the real navigation</w:t>
      </w:r>
    </w:p>
    <w:p>
      <w:pPr>
        <w:spacing w:after="100" w:before="0"/>
      </w:pPr>
      <w:r>
        <w:rPr>
          <w:rFonts w:ascii="Arial" w:cs="Arial" w:eastAsia="Arial" w:hAnsi="Arial"/>
          <w:color w:val="111827"/>
          <w:sz w:val="22"/>
          <w:szCs w:val="22"/>
        </w:rPr>
        <w:t xml:space="preserve">Users hit /search in 32.1% of all sessions — nearly 10× more than the parts browse landing. This is not a search preference; it’s users abandoning a three-door taxonomy they can’t navigate and going directly to the search box. The IA should be redesigned around this reality, not against it.</w:t>
      </w:r>
    </w:p>
    <w:p>
      <w:pPr>
        <w:spacing w:after="10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180"/>
        <w:gridCol w:w="9180"/>
      </w:tblGrid>
      <w:tr>
        <w:tc>
          <w:tcPr>
            <w:tcW w:type="dxa" w:w="180"/>
            <w:tcBorders>
              <w:top w:val="none" w:color="FFFFFF" w:sz="0"/>
              <w:left w:val="single" w:color="D97706" w:sz="12"/>
              <w:bottom w:val="none" w:color="FFFFFF" w:sz="0"/>
              <w:right w:val="none" w:color="FFFFFF" w:sz="0"/>
            </w:tcBorders>
            <w:shd w:fill="FEF3C7" w:val="clear"/>
            <w:tcMar>
              <w:top w:type="dxa" w:w="0"/>
              <w:left w:type="dxa" w:w="0"/>
              <w:bottom w:type="dxa" w:w="0"/>
              <w:right w:type="dxa" w:w="0"/>
            </w:tcMar>
          </w:tcPr>
          <w:p/>
        </w:tc>
        <w:tc>
          <w:tcPr>
            <w:tcBorders>
              <w:top w:val="single" w:color="D1D5DB" w:sz="1"/>
              <w:left w:val="none" w:color="FFFFFF" w:sz="0"/>
              <w:bottom w:val="single" w:color="D1D5DB" w:sz="1"/>
              <w:right w:val="single" w:color="D1D5DB" w:sz="1"/>
            </w:tcBorders>
            <w:shd w:fill="FEF3C7" w:val="clear"/>
            <w:tcMar>
              <w:top w:type="dxa" w:w="120"/>
              <w:left w:type="dxa" w:w="140"/>
              <w:bottom w:type="dxa" w:w="120"/>
              <w:right w:type="dxa" w:w="140"/>
            </w:tcMar>
          </w:tcPr>
          <w:p>
            <w:pPr>
              <w:spacing w:after="60"/>
            </w:pPr>
            <w:r>
              <w:rPr>
                <w:rFonts w:ascii="Arial" w:cs="Arial" w:eastAsia="Arial" w:hAnsi="Arial"/>
                <w:b/>
                <w:bCs/>
                <w:color w:val="D97706"/>
                <w:sz w:val="18"/>
                <w:szCs w:val="18"/>
              </w:rPr>
              <w:t xml:space="preserve">CONFIRMED</w:t>
            </w:r>
          </w:p>
          <w:p>
            <w:pPr>
              <w:spacing w:after="0"/>
            </w:pPr>
            <w:r>
              <w:rPr>
                <w:rFonts w:ascii="Arial" w:cs="Arial" w:eastAsia="Arial" w:hAnsi="Arial"/>
                <w:color w:val="111827"/>
                <w:sz w:val="21"/>
                <w:szCs w:val="21"/>
              </w:rPr>
              <w:t xml:space="preserve">/diagrams/ received 77 sessions via Google with zero nav promotion. This is a high-intent parts-lookup tool that is invisible in the navigation.</w:t>
            </w:r>
          </w:p>
        </w:tc>
      </w:tr>
    </w:tbl>
    <w:p>
      <w:pPr>
        <w:spacing w:after="140"/>
      </w:pPr>
    </w:p>
    <w:p>
      <w:pPr>
        <w:pStyle w:val="Heading2"/>
        <w:spacing w:before="280" w:after="120"/>
      </w:pPr>
      <w:r>
        <w:rPr>
          <w:rFonts w:ascii="Arial" w:cs="Arial" w:eastAsia="Arial" w:hAnsi="Arial"/>
          <w:b/>
          <w:bCs/>
          <w:color w:val="1B3A6B"/>
          <w:sz w:val="28"/>
          <w:szCs w:val="28"/>
        </w:rPr>
        <w:t xml:space="preserve">2. Users think in machines, not taxonomies</w:t>
      </w:r>
    </w:p>
    <w:p>
      <w:pPr>
        <w:spacing w:after="100" w:before="0"/>
      </w:pPr>
      <w:r>
        <w:rPr>
          <w:rFonts w:ascii="Arial" w:cs="Arial" w:eastAsia="Arial" w:hAnsi="Arial"/>
          <w:color w:val="111827"/>
          <w:sz w:val="22"/>
          <w:szCs w:val="22"/>
        </w:rPr>
        <w:t xml:space="preserve">Every organic browse session in the data goes brand → model. Tennant (119 sessions), Nilfisk-Advance (78), TASKI Swingo 750B (81) dominate non-search page visits. No organic browse traffic went category-first or equipment-type-first. The three equal-weight taxonomy options (Brand / Category / Equipment Type) in the nav do not match how users actually shop.</w:t>
      </w:r>
    </w:p>
    <w:p>
      <w:pPr>
        <w:spacing w:after="140"/>
      </w:pPr>
    </w:p>
    <w:p>
      <w:pPr>
        <w:pStyle w:val="Heading2"/>
        <w:spacing w:before="280" w:after="120"/>
      </w:pPr>
      <w:r>
        <w:rPr>
          <w:rFonts w:ascii="Arial" w:cs="Arial" w:eastAsia="Arial" w:hAnsi="Arial"/>
          <w:b/>
          <w:bCs/>
          <w:color w:val="1B3A6B"/>
          <w:sz w:val="28"/>
          <w:szCs w:val="28"/>
        </w:rPr>
        <w:t xml:space="preserve">3. 25.6% quick back rate is a taxonomy signal</w:t>
      </w:r>
    </w:p>
    <w:p>
      <w:pPr>
        <w:spacing w:after="100" w:before="0"/>
      </w:pPr>
      <w:r>
        <w:rPr>
          <w:rFonts w:ascii="Arial" w:cs="Arial" w:eastAsia="Arial" w:hAnsi="Arial"/>
          <w:color w:val="111827"/>
          <w:sz w:val="22"/>
          <w:szCs w:val="22"/>
        </w:rPr>
        <w:t xml:space="preserve">Over 1 in 4 sessions ends with a quick back click. Investigation via Clarity filters confirmed this is not a search failure — virtually no Google traffic lands directly on /search. It’s users picking a browse path, landing somewhere that doesn’t match their mental model, and retreating. The nav structure is the root cause; fixing it addresses the quick back rate.</w:t>
      </w:r>
    </w:p>
    <w:p>
      <w:pPr>
        <w:spacing w:after="140"/>
      </w:pPr>
    </w:p>
    <w:p>
      <w:pPr>
        <w:pStyle w:val="Heading2"/>
        <w:spacing w:before="280" w:after="120"/>
      </w:pPr>
      <w:r>
        <w:rPr>
          <w:rFonts w:ascii="Arial" w:cs="Arial" w:eastAsia="Arial" w:hAnsi="Arial"/>
          <w:b/>
          <w:bCs/>
          <w:color w:val="1B3A6B"/>
          <w:sz w:val="28"/>
          <w:szCs w:val="28"/>
        </w:rPr>
        <w:t xml:space="preserve">4. The Hawksearch JS error has limited real UX impact</w:t>
      </w:r>
    </w:p>
    <w:p>
      <w:pPr>
        <w:spacing w:after="100" w:before="0"/>
      </w:pPr>
      <w:r>
        <w:rPr>
          <w:rFonts w:ascii="Arial" w:cs="Arial" w:eastAsia="Arial" w:hAnsi="Arial"/>
          <w:color w:val="111827"/>
          <w:sz w:val="22"/>
          <w:szCs w:val="22"/>
        </w:rPr>
        <w:t xml:space="preserve">The Clarity error "Cannot read properties of null (reading 'searchrequest')" (251 sessions) is a race condition in the Stencil theme's partSearchLinks function — it reads HawkSearch.searchRequest before Hawk's async init resolves. Live inspection confirmed this causes a blank product grid on cold /search loads. However, Clarity filter investigation showed virtually zero Google referral traffic lands directly on /search as an entry page — most /search sessions arrive from within the site, where Hawk is already initialized. The bug is real and should be fixed, but it is code hygiene rather than the primary conversion problem.</w:t>
      </w:r>
    </w:p>
    <w:p>
      <w:pPr>
        <w:spacing w:after="140"/>
      </w:pPr>
    </w:p>
    <w:p>
      <w:pPr>
        <w:pStyle w:val="Heading2"/>
        <w:spacing w:before="280" w:after="120"/>
      </w:pPr>
      <w:r>
        <w:rPr>
          <w:rFonts w:ascii="Arial" w:cs="Arial" w:eastAsia="Arial" w:hAnsi="Arial"/>
          <w:b/>
          <w:bCs/>
          <w:color w:val="1B3A6B"/>
          <w:sz w:val="28"/>
          <w:szCs w:val="28"/>
        </w:rPr>
        <w:t xml:space="preserve">5. 39% returning users have no account-centric IA</w:t>
      </w:r>
    </w:p>
    <w:p>
      <w:pPr>
        <w:spacing w:after="100" w:before="0"/>
      </w:pPr>
      <w:r>
        <w:rPr>
          <w:rFonts w:ascii="Arial" w:cs="Arial" w:eastAsia="Arial" w:hAnsi="Arial"/>
          <w:color w:val="111827"/>
          <w:sz w:val="22"/>
          <w:szCs w:val="22"/>
        </w:rPr>
        <w:t xml:space="preserve">3,899 returning sessions over 3 days represent meaningful repeat-buyer behavior. Only 1.61% of sessions included a login event, meaning returning users are re-navigating from scratch every visit. Pay an Invoice is buried under About. There is no saved equipment, saved parts list, or reorder path. This is the highest-leverage retention gap on the site.</w:t>
      </w:r>
    </w:p>
    <w:p>
      <w:pPr>
        <w:spacing w:after="200"/>
      </w:pPr>
    </w:p>
    <w:p>
      <w:r>
        <w:br w:type="page"/>
      </w:r>
    </w:p>
    <w:p>
      <w:pPr>
        <w:pStyle w:val="Heading1"/>
        <w:spacing w:before="360" w:after="160"/>
      </w:pPr>
      <w:r>
        <w:rPr>
          <w:rFonts w:ascii="Arial" w:cs="Arial" w:eastAsia="Arial" w:hAnsi="Arial"/>
          <w:b/>
          <w:bCs/>
          <w:color w:val="1B3A6B"/>
          <w:sz w:val="36"/>
          <w:szCs w:val="36"/>
        </w:rPr>
        <w:t xml:space="preserve">Current navigation: structural issues</w:t>
      </w:r>
    </w:p>
    <w:p>
      <w:pPr>
        <w:spacing w:after="100" w:before="0"/>
      </w:pPr>
      <w:r>
        <w:rPr>
          <w:rFonts w:ascii="Arial" w:cs="Arial" w:eastAsia="Arial" w:hAnsi="Arial"/>
          <w:color w:val="111827"/>
          <w:sz w:val="22"/>
          <w:szCs w:val="22"/>
        </w:rPr>
        <w:t xml:space="preserve">The following issues were identified from the live site crawl. They are ordered by severity.</w:t>
      </w:r>
    </w:p>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8160"/>
      </w:tblGrid>
      <w:tr>
        <w:tc>
          <w:tcPr>
            <w:tcBorders>
              <w:top w:val="single" w:color="D1D5DB" w:sz="1"/>
              <w:left w:val="single" w:color="D1D5DB" w:sz="1"/>
              <w:bottom w:val="single" w:color="D1D5DB" w:sz="1"/>
              <w:right w:val="single" w:color="D1D5DB" w:sz="1"/>
            </w:tcBorders>
            <w:shd w:fill="1B3A6B" w:val="clear"/>
            <w:tcMar>
              <w:top w:type="dxa" w:w="80"/>
              <w:left w:type="dxa" w:w="140"/>
              <w:bottom w:type="dxa" w:w="80"/>
              <w:right w:type="dxa" w:w="140"/>
            </w:tcMar>
          </w:tcPr>
          <w:p>
            <w:pPr>
              <w:spacing w:after="0"/>
            </w:pPr>
            <w:r>
              <w:rPr>
                <w:rFonts w:ascii="Arial" w:cs="Arial" w:eastAsia="Arial" w:hAnsi="Arial"/>
                <w:b/>
                <w:bCs/>
                <w:color w:val="FFFFFF"/>
                <w:sz w:val="20"/>
                <w:szCs w:val="20"/>
              </w:rPr>
              <w:t xml:space="preserve">Severity</w:t>
            </w:r>
          </w:p>
        </w:tc>
        <w:tc>
          <w:tcPr>
            <w:tcBorders>
              <w:top w:val="single" w:color="D1D5DB" w:sz="1"/>
              <w:left w:val="single" w:color="D1D5DB" w:sz="1"/>
              <w:bottom w:val="single" w:color="D1D5DB" w:sz="1"/>
              <w:right w:val="single" w:color="D1D5DB" w:sz="1"/>
            </w:tcBorders>
            <w:shd w:fill="1B3A6B" w:val="clear"/>
            <w:tcMar>
              <w:top w:type="dxa" w:w="80"/>
              <w:left w:type="dxa" w:w="140"/>
              <w:bottom w:type="dxa" w:w="80"/>
              <w:right w:type="dxa" w:w="140"/>
            </w:tcMar>
          </w:tcPr>
          <w:p>
            <w:pPr>
              <w:spacing w:after="0"/>
            </w:pPr>
            <w:r>
              <w:rPr>
                <w:rFonts w:ascii="Arial" w:cs="Arial" w:eastAsia="Arial" w:hAnsi="Arial"/>
                <w:b/>
                <w:bCs/>
                <w:color w:val="FFFFFF"/>
                <w:sz w:val="20"/>
                <w:szCs w:val="20"/>
              </w:rPr>
              <w:t xml:space="preserve">Issue</w:t>
            </w:r>
          </w:p>
        </w:tc>
      </w:tr>
      <w:tr>
        <w:tc>
          <w:tcPr>
            <w:tcBorders>
              <w:top w:val="single" w:color="D1D5DB" w:sz="1"/>
              <w:left w:val="single" w:color="D1D5DB" w:sz="1"/>
              <w:bottom w:val="single" w:color="D1D5DB" w:sz="1"/>
              <w:right w:val="single" w:color="D1D5DB" w:sz="1"/>
            </w:tcBorders>
            <w:shd w:fill="FEE2E2" w:val="clear"/>
            <w:tcMar>
              <w:top w:type="dxa" w:w="80"/>
              <w:left w:type="dxa" w:w="140"/>
              <w:bottom w:type="dxa" w:w="80"/>
              <w:right w:type="dxa" w:w="140"/>
            </w:tcMar>
            <w:vAlign w:val="top"/>
          </w:tcPr>
          <w:p>
            <w:pPr>
              <w:spacing w:after="0"/>
            </w:pPr>
            <w:r>
              <w:rPr>
                <w:rFonts w:ascii="Arial" w:cs="Arial" w:eastAsia="Arial" w:hAnsi="Arial"/>
                <w:b/>
                <w:bCs/>
                <w:color w:val="DC2626"/>
                <w:sz w:val="20"/>
                <w:szCs w:val="20"/>
              </w:rPr>
              <w:t xml:space="preserve">Critical</w:t>
            </w:r>
          </w:p>
        </w:tc>
        <w:tc>
          <w:tcPr>
            <w:tcBorders>
              <w:top w:val="single" w:color="D1D5DB" w:sz="1"/>
              <w:left w:val="single" w:color="D1D5DB" w:sz="1"/>
              <w:bottom w:val="single" w:color="D1D5DB" w:sz="1"/>
              <w:right w:val="single" w:color="D1D5DB" w:sz="1"/>
            </w:tcBorders>
            <w:tcMar>
              <w:top w:type="dxa" w:w="120"/>
              <w:left w:type="dxa" w:w="180"/>
              <w:bottom w:type="dxa" w:w="120"/>
              <w:right w:type="dxa" w:w="180"/>
            </w:tcMar>
          </w:tcPr>
          <w:p>
            <w:pPr>
              <w:spacing w:after="0"/>
            </w:pPr>
            <w:r>
              <w:rPr>
                <w:rFonts w:ascii="Arial" w:cs="Arial" w:eastAsia="Arial" w:hAnsi="Arial"/>
                <w:color w:val="111827"/>
                <w:sz w:val="21"/>
                <w:szCs w:val="21"/>
              </w:rPr>
              <w:t xml:space="preserve">Three-door taxonomy: Brand / Category / Equipment Type presented as equal siblings with no guidance. Users must choose a browse model before they know enough to choose correctly.</w:t>
            </w:r>
          </w:p>
        </w:tc>
      </w:tr>
      <w:tr>
        <w:tc>
          <w:tcPr>
            <w:tcBorders>
              <w:top w:val="single" w:color="D1D5DB" w:sz="1"/>
              <w:left w:val="single" w:color="D1D5DB" w:sz="1"/>
              <w:bottom w:val="single" w:color="D1D5DB" w:sz="1"/>
              <w:right w:val="single" w:color="D1D5DB" w:sz="1"/>
            </w:tcBorders>
            <w:shd w:fill="FEE2E2" w:val="clear"/>
            <w:tcMar>
              <w:top w:type="dxa" w:w="80"/>
              <w:left w:type="dxa" w:w="140"/>
              <w:bottom w:type="dxa" w:w="80"/>
              <w:right w:type="dxa" w:w="140"/>
            </w:tcMar>
            <w:vAlign w:val="top"/>
          </w:tcPr>
          <w:p>
            <w:pPr>
              <w:spacing w:after="0"/>
            </w:pPr>
            <w:r>
              <w:rPr>
                <w:rFonts w:ascii="Arial" w:cs="Arial" w:eastAsia="Arial" w:hAnsi="Arial"/>
                <w:b/>
                <w:bCs/>
                <w:color w:val="DC2626"/>
                <w:sz w:val="20"/>
                <w:szCs w:val="20"/>
              </w:rPr>
              <w:t xml:space="preserve">Critical</w:t>
            </w:r>
          </w:p>
        </w:tc>
        <w:tc>
          <w:tcPr>
            <w:tcBorders>
              <w:top w:val="single" w:color="D1D5DB" w:sz="1"/>
              <w:left w:val="single" w:color="D1D5DB" w:sz="1"/>
              <w:bottom w:val="single" w:color="D1D5DB" w:sz="1"/>
              <w:right w:val="single" w:color="D1D5DB" w:sz="1"/>
            </w:tcBorders>
            <w:tcMar>
              <w:top w:type="dxa" w:w="120"/>
              <w:left w:type="dxa" w:w="180"/>
              <w:bottom w:type="dxa" w:w="120"/>
              <w:right w:type="dxa" w:w="180"/>
            </w:tcMar>
          </w:tcPr>
          <w:p>
            <w:pPr>
              <w:spacing w:after="0"/>
            </w:pPr>
            <w:r>
              <w:rPr>
                <w:rFonts w:ascii="Arial" w:cs="Arial" w:eastAsia="Arial" w:hAnsi="Arial"/>
                <w:color w:val="111827"/>
                <w:sz w:val="21"/>
                <w:szCs w:val="21"/>
              </w:rPr>
              <w:t xml:space="preserve">Batteries taxonomy split: Standard batteries at /parts-by-category/batteries/, lithium at /lithium-batteries/ — two separate URL hierarchies for one product category. Fragments SEO and forces users to know battery chemistry before browsing.</w:t>
            </w:r>
          </w:p>
        </w:tc>
      </w:tr>
      <w:tr>
        <w:tc>
          <w:tcPr>
            <w:tcBorders>
              <w:top w:val="single" w:color="D1D5DB" w:sz="1"/>
              <w:left w:val="single" w:color="D1D5DB" w:sz="1"/>
              <w:bottom w:val="single" w:color="D1D5DB" w:sz="1"/>
              <w:right w:val="single" w:color="D1D5DB" w:sz="1"/>
            </w:tcBorders>
            <w:shd w:fill="FEE2E2" w:val="clear"/>
            <w:tcMar>
              <w:top w:type="dxa" w:w="80"/>
              <w:left w:type="dxa" w:w="140"/>
              <w:bottom w:type="dxa" w:w="80"/>
              <w:right w:type="dxa" w:w="140"/>
            </w:tcMar>
            <w:vAlign w:val="top"/>
          </w:tcPr>
          <w:p>
            <w:pPr>
              <w:spacing w:after="0"/>
            </w:pPr>
            <w:r>
              <w:rPr>
                <w:rFonts w:ascii="Arial" w:cs="Arial" w:eastAsia="Arial" w:hAnsi="Arial"/>
                <w:b/>
                <w:bCs/>
                <w:color w:val="DC2626"/>
                <w:sz w:val="20"/>
                <w:szCs w:val="20"/>
              </w:rPr>
              <w:t xml:space="preserve">Critical</w:t>
            </w:r>
          </w:p>
        </w:tc>
        <w:tc>
          <w:tcPr>
            <w:tcBorders>
              <w:top w:val="single" w:color="D1D5DB" w:sz="1"/>
              <w:left w:val="single" w:color="D1D5DB" w:sz="1"/>
              <w:bottom w:val="single" w:color="D1D5DB" w:sz="1"/>
              <w:right w:val="single" w:color="D1D5DB" w:sz="1"/>
            </w:tcBorders>
            <w:tcMar>
              <w:top w:type="dxa" w:w="120"/>
              <w:left w:type="dxa" w:w="180"/>
              <w:bottom w:type="dxa" w:w="120"/>
              <w:right w:type="dxa" w:w="180"/>
            </w:tcMar>
          </w:tcPr>
          <w:p>
            <w:pPr>
              <w:spacing w:after="0"/>
            </w:pPr>
            <w:r>
              <w:rPr>
                <w:rFonts w:ascii="Arial" w:cs="Arial" w:eastAsia="Arial" w:hAnsi="Arial"/>
                <w:color w:val="111827"/>
                <w:sz w:val="21"/>
                <w:szCs w:val="21"/>
              </w:rPr>
              <w:t xml:space="preserve">Chemicals URL inconsistency: Appears in the Category nav group but lives at /chemicals/ rather than /parts-by-category/chemicals/. Breaks URL hierarchy and weakens SEO signals.</w:t>
            </w:r>
          </w:p>
        </w:tc>
      </w:tr>
      <w:tr>
        <w:tc>
          <w:tcPr>
            <w:tcBorders>
              <w:top w:val="single" w:color="D1D5DB" w:sz="1"/>
              <w:left w:val="single" w:color="D1D5DB" w:sz="1"/>
              <w:bottom w:val="single" w:color="D1D5DB" w:sz="1"/>
              <w:right w:val="single" w:color="D1D5DB" w:sz="1"/>
            </w:tcBorders>
            <w:shd w:fill="FEE2E2" w:val="clear"/>
            <w:tcMar>
              <w:top w:type="dxa" w:w="80"/>
              <w:left w:type="dxa" w:w="140"/>
              <w:bottom w:type="dxa" w:w="80"/>
              <w:right w:type="dxa" w:w="140"/>
            </w:tcMar>
            <w:vAlign w:val="top"/>
          </w:tcPr>
          <w:p>
            <w:pPr>
              <w:spacing w:after="0"/>
            </w:pPr>
            <w:r>
              <w:rPr>
                <w:rFonts w:ascii="Arial" w:cs="Arial" w:eastAsia="Arial" w:hAnsi="Arial"/>
                <w:b/>
                <w:bCs/>
                <w:color w:val="DC2626"/>
                <w:sz w:val="20"/>
                <w:szCs w:val="20"/>
              </w:rPr>
              <w:t xml:space="preserve">Critical</w:t>
            </w:r>
          </w:p>
        </w:tc>
        <w:tc>
          <w:tcPr>
            <w:tcBorders>
              <w:top w:val="single" w:color="D1D5DB" w:sz="1"/>
              <w:left w:val="single" w:color="D1D5DB" w:sz="1"/>
              <w:bottom w:val="single" w:color="D1D5DB" w:sz="1"/>
              <w:right w:val="single" w:color="D1D5DB" w:sz="1"/>
            </w:tcBorders>
            <w:tcMar>
              <w:top w:type="dxa" w:w="120"/>
              <w:left w:type="dxa" w:w="180"/>
              <w:bottom w:type="dxa" w:w="120"/>
              <w:right w:type="dxa" w:w="180"/>
            </w:tcMar>
          </w:tcPr>
          <w:p>
            <w:pPr>
              <w:spacing w:after="0"/>
            </w:pPr>
            <w:r>
              <w:rPr>
                <w:rFonts w:ascii="Arial" w:cs="Arial" w:eastAsia="Arial" w:hAnsi="Arial"/>
                <w:color w:val="111827"/>
                <w:sz w:val="21"/>
                <w:szCs w:val="21"/>
              </w:rPr>
              <w:t xml:space="preserve">Escatechnique misclassified: Listed alongside New Equipment and Used Equipment as though it is an equipment condition. It is a brand.</w:t>
            </w:r>
          </w:p>
        </w:tc>
      </w:tr>
      <w:tr>
        <w:tc>
          <w:tcPr>
            <w:tcBorders>
              <w:top w:val="single" w:color="D1D5DB" w:sz="1"/>
              <w:left w:val="single" w:color="D1D5DB" w:sz="1"/>
              <w:bottom w:val="single" w:color="D1D5DB" w:sz="1"/>
              <w:right w:val="single" w:color="D1D5DB" w:sz="1"/>
            </w:tcBorders>
            <w:shd w:fill="FEF3C7" w:val="clear"/>
            <w:tcMar>
              <w:top w:type="dxa" w:w="80"/>
              <w:left w:type="dxa" w:w="140"/>
              <w:bottom w:type="dxa" w:w="80"/>
              <w:right w:type="dxa" w:w="140"/>
            </w:tcMar>
            <w:vAlign w:val="top"/>
          </w:tcPr>
          <w:p>
            <w:pPr>
              <w:spacing w:after="0"/>
            </w:pPr>
            <w:r>
              <w:rPr>
                <w:rFonts w:ascii="Arial" w:cs="Arial" w:eastAsia="Arial" w:hAnsi="Arial"/>
                <w:b/>
                <w:bCs/>
                <w:color w:val="D97706"/>
                <w:sz w:val="20"/>
                <w:szCs w:val="20"/>
              </w:rPr>
              <w:t xml:space="preserve">Moderate</w:t>
            </w:r>
          </w:p>
        </w:tc>
        <w:tc>
          <w:tcPr>
            <w:tcBorders>
              <w:top w:val="single" w:color="D1D5DB" w:sz="1"/>
              <w:left w:val="single" w:color="D1D5DB" w:sz="1"/>
              <w:bottom w:val="single" w:color="D1D5DB" w:sz="1"/>
              <w:right w:val="single" w:color="D1D5DB" w:sz="1"/>
            </w:tcBorders>
            <w:tcMar>
              <w:top w:type="dxa" w:w="120"/>
              <w:left w:type="dxa" w:w="180"/>
              <w:bottom w:type="dxa" w:w="120"/>
              <w:right w:type="dxa" w:w="180"/>
            </w:tcMar>
          </w:tcPr>
          <w:p>
            <w:pPr>
              <w:spacing w:after="0"/>
            </w:pPr>
            <w:r>
              <w:rPr>
                <w:rFonts w:ascii="Arial" w:cs="Arial" w:eastAsia="Arial" w:hAnsi="Arial"/>
                <w:color w:val="111827"/>
                <w:sz w:val="21"/>
                <w:szCs w:val="21"/>
              </w:rPr>
              <w:t xml:space="preserve">25+ part categories hidden: The nav shows 16 of 40+ categories. Axles, control boards, clutch plates, battery chargers, and more are only discoverable via the sidebar after navigating into the hierarchy.</w:t>
            </w:r>
          </w:p>
        </w:tc>
      </w:tr>
      <w:tr>
        <w:tc>
          <w:tcPr>
            <w:tcBorders>
              <w:top w:val="single" w:color="D1D5DB" w:sz="1"/>
              <w:left w:val="single" w:color="D1D5DB" w:sz="1"/>
              <w:bottom w:val="single" w:color="D1D5DB" w:sz="1"/>
              <w:right w:val="single" w:color="D1D5DB" w:sz="1"/>
            </w:tcBorders>
            <w:shd w:fill="FEF3C7" w:val="clear"/>
            <w:tcMar>
              <w:top w:type="dxa" w:w="80"/>
              <w:left w:type="dxa" w:w="140"/>
              <w:bottom w:type="dxa" w:w="80"/>
              <w:right w:type="dxa" w:w="140"/>
            </w:tcMar>
            <w:vAlign w:val="top"/>
          </w:tcPr>
          <w:p>
            <w:pPr>
              <w:spacing w:after="0"/>
            </w:pPr>
            <w:r>
              <w:rPr>
                <w:rFonts w:ascii="Arial" w:cs="Arial" w:eastAsia="Arial" w:hAnsi="Arial"/>
                <w:b/>
                <w:bCs/>
                <w:color w:val="D97706"/>
                <w:sz w:val="20"/>
                <w:szCs w:val="20"/>
              </w:rPr>
              <w:t xml:space="preserve">Moderate</w:t>
            </w:r>
          </w:p>
        </w:tc>
        <w:tc>
          <w:tcPr>
            <w:tcBorders>
              <w:top w:val="single" w:color="D1D5DB" w:sz="1"/>
              <w:left w:val="single" w:color="D1D5DB" w:sz="1"/>
              <w:bottom w:val="single" w:color="D1D5DB" w:sz="1"/>
              <w:right w:val="single" w:color="D1D5DB" w:sz="1"/>
            </w:tcBorders>
            <w:tcMar>
              <w:top w:type="dxa" w:w="120"/>
              <w:left w:type="dxa" w:w="180"/>
              <w:bottom w:type="dxa" w:w="120"/>
              <w:right w:type="dxa" w:w="180"/>
            </w:tcMar>
          </w:tcPr>
          <w:p>
            <w:pPr>
              <w:spacing w:after="0"/>
            </w:pPr>
            <w:r>
              <w:rPr>
                <w:rFonts w:ascii="Arial" w:cs="Arial" w:eastAsia="Arial" w:hAnsi="Arial"/>
                <w:color w:val="111827"/>
                <w:sz w:val="21"/>
                <w:szCs w:val="21"/>
              </w:rPr>
              <w:t xml:space="preserve">Pay an Invoice buried under About: A recurring B2B task buried under brand/marketing content, and it links to an external domain.</w:t>
            </w:r>
          </w:p>
        </w:tc>
      </w:tr>
      <w:tr>
        <w:tc>
          <w:tcPr>
            <w:tcBorders>
              <w:top w:val="single" w:color="D1D5DB" w:sz="1"/>
              <w:left w:val="single" w:color="D1D5DB" w:sz="1"/>
              <w:bottom w:val="single" w:color="D1D5DB" w:sz="1"/>
              <w:right w:val="single" w:color="D1D5DB" w:sz="1"/>
            </w:tcBorders>
            <w:shd w:fill="FEF3C7" w:val="clear"/>
            <w:tcMar>
              <w:top w:type="dxa" w:w="80"/>
              <w:left w:type="dxa" w:w="140"/>
              <w:bottom w:type="dxa" w:w="80"/>
              <w:right w:type="dxa" w:w="140"/>
            </w:tcMar>
            <w:vAlign w:val="top"/>
          </w:tcPr>
          <w:p>
            <w:pPr>
              <w:spacing w:after="0"/>
            </w:pPr>
            <w:r>
              <w:rPr>
                <w:rFonts w:ascii="Arial" w:cs="Arial" w:eastAsia="Arial" w:hAnsi="Arial"/>
                <w:b/>
                <w:bCs/>
                <w:color w:val="D97706"/>
                <w:sz w:val="20"/>
                <w:szCs w:val="20"/>
              </w:rPr>
              <w:t xml:space="preserve">Moderate</w:t>
            </w:r>
          </w:p>
        </w:tc>
        <w:tc>
          <w:tcPr>
            <w:tcBorders>
              <w:top w:val="single" w:color="D1D5DB" w:sz="1"/>
              <w:left w:val="single" w:color="D1D5DB" w:sz="1"/>
              <w:bottom w:val="single" w:color="D1D5DB" w:sz="1"/>
              <w:right w:val="single" w:color="D1D5DB" w:sz="1"/>
            </w:tcBorders>
            <w:tcMar>
              <w:top w:type="dxa" w:w="120"/>
              <w:left w:type="dxa" w:w="180"/>
              <w:bottom w:type="dxa" w:w="120"/>
              <w:right w:type="dxa" w:w="180"/>
            </w:tcMar>
          </w:tcPr>
          <w:p>
            <w:pPr>
              <w:spacing w:after="0"/>
            </w:pPr>
            <w:r>
              <w:rPr>
                <w:rFonts w:ascii="Arial" w:cs="Arial" w:eastAsia="Arial" w:hAnsi="Arial"/>
                <w:color w:val="111827"/>
                <w:sz w:val="21"/>
                <w:szCs w:val="21"/>
              </w:rPr>
              <w:t xml:space="preserve">'Shop Parts' defaults to manufacturer view: Clicking the top-level nav item silently drops users into the manufacturer browse without them choosing that path.</w:t>
            </w:r>
          </w:p>
        </w:tc>
      </w:tr>
    </w:tbl>
    <w:p>
      <w:pPr>
        <w:spacing w:after="200"/>
      </w:pPr>
    </w:p>
    <w:p>
      <w:r>
        <w:br w:type="page"/>
      </w:r>
    </w:p>
    <w:p>
      <w:pPr>
        <w:pStyle w:val="Heading1"/>
        <w:spacing w:before="360" w:after="160"/>
      </w:pPr>
      <w:r>
        <w:rPr>
          <w:rFonts w:ascii="Arial" w:cs="Arial" w:eastAsia="Arial" w:hAnsi="Arial"/>
          <w:b/>
          <w:bCs/>
          <w:color w:val="1B3A6B"/>
          <w:sz w:val="36"/>
          <w:szCs w:val="36"/>
        </w:rPr>
        <w:t xml:space="preserve">Recommended roadmap</w:t>
      </w:r>
    </w:p>
    <w:p>
      <w:pPr>
        <w:spacing w:after="100" w:before="0"/>
      </w:pPr>
      <w:r>
        <w:rPr>
          <w:rFonts w:ascii="Arial" w:cs="Arial" w:eastAsia="Arial" w:hAnsi="Arial"/>
          <w:color w:val="111827"/>
          <w:sz w:val="22"/>
          <w:szCs w:val="22"/>
        </w:rPr>
        <w:t xml:space="preserve">Sequenced in three phases. Short-term items require no design work. 30–60 day items require design and dev collaboration. Long-term items require discovery, research, and significant dev investment.</w:t>
      </w:r>
    </w:p>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8760"/>
      </w:tblGrid>
      <w:tr>
        <w:tc>
          <w:tcPr>
            <w:gridSpan w:val="2"/>
            <w:tcBorders>
              <w:top w:val="single" w:color="DC2626" w:sz="1"/>
              <w:left w:val="single" w:color="DC2626" w:sz="1"/>
              <w:bottom w:val="single" w:color="DC2626" w:sz="1"/>
              <w:right w:val="single" w:color="DC2626" w:sz="1"/>
            </w:tcBorders>
            <w:shd w:fill="FEE2E2" w:val="clear"/>
            <w:tcMar>
              <w:top w:type="dxa" w:w="120"/>
              <w:left w:type="dxa" w:w="180"/>
              <w:bottom w:type="dxa" w:w="120"/>
              <w:right w:type="dxa" w:w="180"/>
            </w:tcMar>
          </w:tcPr>
          <w:p>
            <w:pPr>
              <w:spacing w:after="40"/>
            </w:pPr>
            <w:r>
              <w:rPr>
                <w:rFonts w:ascii="Arial" w:cs="Arial" w:eastAsia="Arial" w:hAnsi="Arial"/>
                <w:b/>
                <w:bCs/>
                <w:color w:val="DC2626"/>
                <w:sz w:val="20"/>
                <w:szCs w:val="20"/>
              </w:rPr>
              <w:t xml:space="preserve">NOW — THIS SPRINT</w:t>
            </w:r>
          </w:p>
          <w:p>
            <w:pPr>
              <w:spacing w:after="40"/>
            </w:pPr>
            <w:r>
              <w:rPr>
                <w:rFonts w:ascii="Arial" w:cs="Arial" w:eastAsia="Arial" w:hAnsi="Arial"/>
                <w:b/>
                <w:bCs/>
                <w:color w:val="1B3A6B"/>
                <w:sz w:val="26"/>
                <w:szCs w:val="26"/>
              </w:rPr>
              <w:t xml:space="preserve">Code fixes &amp; quick taxonomy wins</w:t>
            </w:r>
          </w:p>
          <w:p>
            <w:pPr>
              <w:spacing w:after="0"/>
            </w:pPr>
            <w:r>
              <w:rPr>
                <w:rFonts w:ascii="Arial" w:cs="Arial" w:eastAsia="Arial" w:hAnsi="Arial"/>
                <w:color w:val="6B7280"/>
                <w:sz w:val="20"/>
                <w:szCs w:val="20"/>
              </w:rPr>
              <w:t xml:space="preserve">No design required — each item is under 1 hour of dev time</w:t>
            </w:r>
          </w:p>
        </w:tc>
      </w:tr>
      <w:tr>
        <w:tc>
          <w:tcPr>
            <w:tcW w:type="dxa" w:w="600"/>
            <w:tcBorders>
              <w:top w:val="single" w:color="D1D5DB" w:sz="1"/>
              <w:left w:val="single" w:color="D1D5DB" w:sz="1"/>
              <w:bottom w:val="single" w:color="D1D5DB" w:sz="1"/>
              <w:right w:val="single" w:color="D1D5DB" w:sz="1"/>
            </w:tcBorders>
            <w:shd w:fill="FEE2E2" w:val="clear"/>
            <w:tcMar>
              <w:top w:type="dxa" w:w="80"/>
              <w:left w:type="dxa" w:w="140"/>
              <w:bottom w:type="dxa" w:w="80"/>
              <w:right w:type="dxa" w:w="140"/>
            </w:tcMar>
            <w:vAlign w:val="top"/>
          </w:tcPr>
          <w:p>
            <w:pPr>
              <w:spacing w:after="0"/>
              <w:jc w:val="center"/>
            </w:pPr>
            <w:r>
              <w:rPr>
                <w:rFonts w:ascii="Arial" w:cs="Arial" w:eastAsia="Arial" w:hAnsi="Arial"/>
                <w:b/>
                <w:bCs/>
                <w:color w:val="DC2626"/>
                <w:sz w:val="24"/>
                <w:szCs w:val="24"/>
              </w:rPr>
              <w:t xml:space="preserve">1</w:t>
            </w:r>
          </w:p>
        </w:tc>
        <w:tc>
          <w:tcPr>
            <w:tcW w:type="dxa" w:w="8760"/>
            <w:tcBorders>
              <w:top w:val="single" w:color="D1D5DB" w:sz="1"/>
              <w:left w:val="single" w:color="D1D5DB" w:sz="1"/>
              <w:bottom w:val="single" w:color="D1D5DB" w:sz="1"/>
              <w:right w:val="single" w:color="D1D5DB" w:sz="1"/>
            </w:tcBorders>
            <w:tcMar>
              <w:top w:type="dxa" w:w="120"/>
              <w:left w:type="dxa" w:w="180"/>
              <w:bottom w:type="dxa" w:w="120"/>
              <w:right w:type="dxa" w:w="180"/>
            </w:tcMar>
          </w:tcPr>
          <w:p>
            <w:pPr>
              <w:spacing w:after="60"/>
            </w:pPr>
            <w:r>
              <w:rPr>
                <w:rFonts w:ascii="Arial" w:cs="Arial" w:eastAsia="Arial" w:hAnsi="Arial"/>
                <w:b/>
                <w:bCs/>
                <w:color w:val="111827"/>
                <w:sz w:val="23"/>
                <w:szCs w:val="23"/>
              </w:rPr>
              <w:t xml:space="preserve">Fix Hawksearch searchRequest null reference</w:t>
            </w:r>
          </w:p>
          <w:p>
            <w:pPr>
              <w:spacing w:after="100"/>
            </w:pPr>
            <w:r>
              <w:rPr>
                <w:rFonts w:ascii="Arial" w:cs="Arial" w:eastAsia="Arial" w:hAnsi="Arial"/>
                <w:i/>
                <w:iCs/>
                <w:color w:val="6B7280"/>
                <w:sz w:val="19"/>
                <w:szCs w:val="19"/>
              </w:rPr>
              <w:t xml:space="preserve">Dev — 30 min  •  Stencil theme JS</w:t>
            </w:r>
            <w:r>
              <w:rPr>
                <w:rFonts w:ascii="Arial" w:cs="Arial" w:eastAsia="Arial" w:hAnsi="Arial"/>
                <w:color w:val="6B7280"/>
                <w:sz w:val="18"/>
                <w:szCs w:val="18"/>
              </w:rPr>
              <w:t xml:space="preserve">  Bug fix  </w:t>
            </w:r>
          </w:p>
          <w:p>
            <w:pPr>
              <w:spacing w:after="0"/>
            </w:pPr>
            <w:r>
              <w:rPr>
                <w:rFonts w:ascii="Arial" w:cs="Arial" w:eastAsia="Arial" w:hAnsi="Arial"/>
                <w:color w:val="111827"/>
                <w:sz w:val="20"/>
                <w:szCs w:val="20"/>
              </w:rPr>
              <w:t xml:space="preserve">Add a null guard (HawkSearch.searchRequest?.query) or move partSearchLinks into a hawksearch:search-complete event listener. Confirmed race condition: 268,271 results counted by Hawk but zero products rendered on cold /search loads.</w:t>
            </w:r>
          </w:p>
        </w:tc>
      </w:tr>
      <w:tr>
        <w:tc>
          <w:tcPr>
            <w:tcW w:type="dxa" w:w="600"/>
            <w:tcBorders>
              <w:top w:val="single" w:color="D1D5DB" w:sz="1"/>
              <w:left w:val="single" w:color="D1D5DB" w:sz="1"/>
              <w:bottom w:val="single" w:color="D1D5DB" w:sz="1"/>
              <w:right w:val="single" w:color="D1D5DB" w:sz="1"/>
            </w:tcBorders>
            <w:shd w:fill="F3F4F6" w:val="clear"/>
            <w:tcMar>
              <w:top w:type="dxa" w:w="80"/>
              <w:left w:type="dxa" w:w="140"/>
              <w:bottom w:type="dxa" w:w="80"/>
              <w:right w:type="dxa" w:w="140"/>
            </w:tcMar>
            <w:vAlign w:val="top"/>
          </w:tcPr>
          <w:p>
            <w:pPr>
              <w:spacing w:after="0"/>
              <w:jc w:val="center"/>
            </w:pPr>
            <w:r>
              <w:rPr>
                <w:rFonts w:ascii="Arial" w:cs="Arial" w:eastAsia="Arial" w:hAnsi="Arial"/>
                <w:b/>
                <w:bCs/>
                <w:color w:val="6B7280"/>
                <w:sz w:val="24"/>
                <w:szCs w:val="24"/>
              </w:rPr>
              <w:t xml:space="preserve">2</w:t>
            </w:r>
          </w:p>
        </w:tc>
        <w:tc>
          <w:tcPr>
            <w:tcW w:type="dxa" w:w="8760"/>
            <w:tcBorders>
              <w:top w:val="single" w:color="D1D5DB" w:sz="1"/>
              <w:left w:val="single" w:color="D1D5DB" w:sz="1"/>
              <w:bottom w:val="single" w:color="D1D5DB" w:sz="1"/>
              <w:right w:val="single" w:color="D1D5DB" w:sz="1"/>
            </w:tcBorders>
            <w:tcMar>
              <w:top w:type="dxa" w:w="120"/>
              <w:left w:type="dxa" w:w="180"/>
              <w:bottom w:type="dxa" w:w="120"/>
              <w:right w:type="dxa" w:w="180"/>
            </w:tcMar>
          </w:tcPr>
          <w:p>
            <w:pPr>
              <w:spacing w:after="60"/>
            </w:pPr>
            <w:r>
              <w:rPr>
                <w:rFonts w:ascii="Arial" w:cs="Arial" w:eastAsia="Arial" w:hAnsi="Arial"/>
                <w:b/>
                <w:bCs/>
                <w:color w:val="111827"/>
                <w:sz w:val="23"/>
                <w:szCs w:val="23"/>
              </w:rPr>
              <w:t xml:space="preserve">Add /diagrams/ to the navigation</w:t>
            </w:r>
          </w:p>
          <w:p>
            <w:pPr>
              <w:spacing w:after="100"/>
            </w:pPr>
            <w:r>
              <w:rPr>
                <w:rFonts w:ascii="Arial" w:cs="Arial" w:eastAsia="Arial" w:hAnsi="Arial"/>
                <w:i/>
                <w:iCs/>
                <w:color w:val="6B7280"/>
                <w:sz w:val="19"/>
                <w:szCs w:val="19"/>
              </w:rPr>
              <w:t xml:space="preserve">Dev — 15 min  •  High impact</w:t>
            </w:r>
            <w:r>
              <w:rPr>
                <w:rFonts w:ascii="Arial" w:cs="Arial" w:eastAsia="Arial" w:hAnsi="Arial"/>
                <w:color w:val="6B7280"/>
                <w:sz w:val="18"/>
                <w:szCs w:val="18"/>
              </w:rPr>
              <w:t xml:space="preserve">  UX  </w:t>
            </w:r>
          </w:p>
          <w:p>
            <w:pPr>
              <w:spacing w:after="0"/>
            </w:pPr>
            <w:r>
              <w:rPr>
                <w:rFonts w:ascii="Arial" w:cs="Arial" w:eastAsia="Arial" w:hAnsi="Arial"/>
                <w:color w:val="111827"/>
                <w:sz w:val="20"/>
                <w:szCs w:val="20"/>
              </w:rPr>
              <w:t xml:space="preserve">77 sessions found /diagrams/ via Google with no nav link. Confirm the page function, then add it under Find Parts as 'Part diagrams' or 'Diagram lookup'. If it is a visual parts finder, also feature it on the homepage.</w:t>
            </w:r>
          </w:p>
        </w:tc>
      </w:tr>
      <w:tr>
        <w:tc>
          <w:tcPr>
            <w:tcW w:type="dxa" w:w="600"/>
            <w:tcBorders>
              <w:top w:val="single" w:color="D1D5DB" w:sz="1"/>
              <w:left w:val="single" w:color="D1D5DB" w:sz="1"/>
              <w:bottom w:val="single" w:color="D1D5DB" w:sz="1"/>
              <w:right w:val="single" w:color="D1D5DB" w:sz="1"/>
            </w:tcBorders>
            <w:shd w:fill="F3F4F6" w:val="clear"/>
            <w:tcMar>
              <w:top w:type="dxa" w:w="80"/>
              <w:left w:type="dxa" w:w="140"/>
              <w:bottom w:type="dxa" w:w="80"/>
              <w:right w:type="dxa" w:w="140"/>
            </w:tcMar>
            <w:vAlign w:val="top"/>
          </w:tcPr>
          <w:p>
            <w:pPr>
              <w:spacing w:after="0"/>
              <w:jc w:val="center"/>
            </w:pPr>
            <w:r>
              <w:rPr>
                <w:rFonts w:ascii="Arial" w:cs="Arial" w:eastAsia="Arial" w:hAnsi="Arial"/>
                <w:b/>
                <w:bCs/>
                <w:color w:val="6B7280"/>
                <w:sz w:val="24"/>
                <w:szCs w:val="24"/>
              </w:rPr>
              <w:t xml:space="preserve">3</w:t>
            </w:r>
          </w:p>
        </w:tc>
        <w:tc>
          <w:tcPr>
            <w:tcW w:type="dxa" w:w="8760"/>
            <w:tcBorders>
              <w:top w:val="single" w:color="D1D5DB" w:sz="1"/>
              <w:left w:val="single" w:color="D1D5DB" w:sz="1"/>
              <w:bottom w:val="single" w:color="D1D5DB" w:sz="1"/>
              <w:right w:val="single" w:color="D1D5DB" w:sz="1"/>
            </w:tcBorders>
            <w:tcMar>
              <w:top w:type="dxa" w:w="120"/>
              <w:left w:type="dxa" w:w="180"/>
              <w:bottom w:type="dxa" w:w="120"/>
              <w:right w:type="dxa" w:w="180"/>
            </w:tcMar>
          </w:tcPr>
          <w:p>
            <w:pPr>
              <w:spacing w:after="60"/>
            </w:pPr>
            <w:r>
              <w:rPr>
                <w:rFonts w:ascii="Arial" w:cs="Arial" w:eastAsia="Arial" w:hAnsi="Arial"/>
                <w:b/>
                <w:bCs/>
                <w:color w:val="111827"/>
                <w:sz w:val="23"/>
                <w:szCs w:val="23"/>
              </w:rPr>
              <w:t xml:space="preserve">Fix /search trailing-slash duplicate</w:t>
            </w:r>
          </w:p>
          <w:p>
            <w:pPr>
              <w:spacing w:after="100"/>
            </w:pPr>
            <w:r>
              <w:rPr>
                <w:rFonts w:ascii="Arial" w:cs="Arial" w:eastAsia="Arial" w:hAnsi="Arial"/>
                <w:i/>
                <w:iCs/>
                <w:color w:val="6B7280"/>
                <w:sz w:val="19"/>
                <w:szCs w:val="19"/>
              </w:rPr>
              <w:t xml:space="preserve">Dev — 15 min  •  SEO</w:t>
            </w:r>
            <w:r>
              <w:rPr>
                <w:rFonts w:ascii="Arial" w:cs="Arial" w:eastAsia="Arial" w:hAnsi="Arial"/>
                <w:color w:val="6B7280"/>
                <w:sz w:val="18"/>
                <w:szCs w:val="18"/>
              </w:rPr>
              <w:t xml:space="preserve">  301 redirect  </w:t>
            </w:r>
          </w:p>
          <w:p>
            <w:pPr>
              <w:spacing w:after="0"/>
            </w:pPr>
            <w:r>
              <w:rPr>
                <w:rFonts w:ascii="Arial" w:cs="Arial" w:eastAsia="Arial" w:hAnsi="Arial"/>
                <w:color w:val="111827"/>
                <w:sz w:val="20"/>
                <w:szCs w:val="20"/>
              </w:rPr>
              <w:t xml:space="preserve">Add a 301 redirect from /search/ → /search. Currently splitting 3,221 sessions across two page entries in analytics.</w:t>
            </w:r>
          </w:p>
        </w:tc>
      </w:tr>
      <w:tr>
        <w:tc>
          <w:tcPr>
            <w:tcW w:type="dxa" w:w="600"/>
            <w:tcBorders>
              <w:top w:val="single" w:color="D1D5DB" w:sz="1"/>
              <w:left w:val="single" w:color="D1D5DB" w:sz="1"/>
              <w:bottom w:val="single" w:color="D1D5DB" w:sz="1"/>
              <w:right w:val="single" w:color="D1D5DB" w:sz="1"/>
            </w:tcBorders>
            <w:shd w:fill="F3F4F6" w:val="clear"/>
            <w:tcMar>
              <w:top w:type="dxa" w:w="80"/>
              <w:left w:type="dxa" w:w="140"/>
              <w:bottom w:type="dxa" w:w="80"/>
              <w:right w:type="dxa" w:w="140"/>
            </w:tcMar>
            <w:vAlign w:val="top"/>
          </w:tcPr>
          <w:p>
            <w:pPr>
              <w:spacing w:after="0"/>
              <w:jc w:val="center"/>
            </w:pPr>
            <w:r>
              <w:rPr>
                <w:rFonts w:ascii="Arial" w:cs="Arial" w:eastAsia="Arial" w:hAnsi="Arial"/>
                <w:b/>
                <w:bCs/>
                <w:color w:val="6B7280"/>
                <w:sz w:val="24"/>
                <w:szCs w:val="24"/>
              </w:rPr>
              <w:t xml:space="preserve">4</w:t>
            </w:r>
          </w:p>
        </w:tc>
        <w:tc>
          <w:tcPr>
            <w:tcW w:type="dxa" w:w="8760"/>
            <w:tcBorders>
              <w:top w:val="single" w:color="D1D5DB" w:sz="1"/>
              <w:left w:val="single" w:color="D1D5DB" w:sz="1"/>
              <w:bottom w:val="single" w:color="D1D5DB" w:sz="1"/>
              <w:right w:val="single" w:color="D1D5DB" w:sz="1"/>
            </w:tcBorders>
            <w:tcMar>
              <w:top w:type="dxa" w:w="120"/>
              <w:left w:type="dxa" w:w="180"/>
              <w:bottom w:type="dxa" w:w="120"/>
              <w:right w:type="dxa" w:w="180"/>
            </w:tcMar>
          </w:tcPr>
          <w:p>
            <w:pPr>
              <w:spacing w:after="60"/>
            </w:pPr>
            <w:r>
              <w:rPr>
                <w:rFonts w:ascii="Arial" w:cs="Arial" w:eastAsia="Arial" w:hAnsi="Arial"/>
                <w:b/>
                <w:bCs/>
                <w:color w:val="111827"/>
                <w:sz w:val="23"/>
                <w:szCs w:val="23"/>
              </w:rPr>
              <w:t xml:space="preserve">Merge Batteries taxonomy &amp; fix Chemicals URL</w:t>
            </w:r>
          </w:p>
          <w:p>
            <w:pPr>
              <w:spacing w:after="100"/>
            </w:pPr>
            <w:r>
              <w:rPr>
                <w:rFonts w:ascii="Arial" w:cs="Arial" w:eastAsia="Arial" w:hAnsi="Arial"/>
                <w:i/>
                <w:iCs/>
                <w:color w:val="6B7280"/>
                <w:sz w:val="19"/>
                <w:szCs w:val="19"/>
              </w:rPr>
              <w:t xml:space="preserve">Dev — 1 hr  •  SEO + UX</w:t>
            </w:r>
            <w:r>
              <w:rPr>
                <w:rFonts w:ascii="Arial" w:cs="Arial" w:eastAsia="Arial" w:hAnsi="Arial"/>
                <w:color w:val="6B7280"/>
                <w:sz w:val="18"/>
                <w:szCs w:val="18"/>
              </w:rPr>
              <w:t xml:space="preserve">  Taxonomy  </w:t>
            </w:r>
            <w:r>
              <w:rPr>
                <w:rFonts w:ascii="Arial" w:cs="Arial" w:eastAsia="Arial" w:hAnsi="Arial"/>
                <w:color w:val="6B7280"/>
                <w:sz w:val="18"/>
                <w:szCs w:val="18"/>
              </w:rPr>
              <w:t xml:space="preserve">  Redirects  </w:t>
            </w:r>
          </w:p>
          <w:p>
            <w:pPr>
              <w:spacing w:after="0"/>
            </w:pPr>
            <w:r>
              <w:rPr>
                <w:rFonts w:ascii="Arial" w:cs="Arial" w:eastAsia="Arial" w:hAnsi="Arial"/>
                <w:color w:val="111827"/>
                <w:sz w:val="20"/>
                <w:szCs w:val="20"/>
              </w:rPr>
              <w:t xml:space="preserve">Consolidate Batteries and Batteries – Lithium into a single category at /parts-by-category/batteries/. 301-redirect /lithium-batteries/. Separately 301-redirect /chemicals/ → /parts-by-category/chemicals/ and update nav link target.</w:t>
            </w:r>
          </w:p>
        </w:tc>
      </w:tr>
      <w:tr>
        <w:tc>
          <w:tcPr>
            <w:tcW w:type="dxa" w:w="600"/>
            <w:tcBorders>
              <w:top w:val="single" w:color="D1D5DB" w:sz="1"/>
              <w:left w:val="single" w:color="D1D5DB" w:sz="1"/>
              <w:bottom w:val="single" w:color="D1D5DB" w:sz="1"/>
              <w:right w:val="single" w:color="D1D5DB" w:sz="1"/>
            </w:tcBorders>
            <w:shd w:fill="F3F4F6" w:val="clear"/>
            <w:tcMar>
              <w:top w:type="dxa" w:w="80"/>
              <w:left w:type="dxa" w:w="140"/>
              <w:bottom w:type="dxa" w:w="80"/>
              <w:right w:type="dxa" w:w="140"/>
            </w:tcMar>
            <w:vAlign w:val="top"/>
          </w:tcPr>
          <w:p>
            <w:pPr>
              <w:spacing w:after="0"/>
              <w:jc w:val="center"/>
            </w:pPr>
            <w:r>
              <w:rPr>
                <w:rFonts w:ascii="Arial" w:cs="Arial" w:eastAsia="Arial" w:hAnsi="Arial"/>
                <w:b/>
                <w:bCs/>
                <w:color w:val="6B7280"/>
                <w:sz w:val="24"/>
                <w:szCs w:val="24"/>
              </w:rPr>
              <w:t xml:space="preserve">5</w:t>
            </w:r>
          </w:p>
        </w:tc>
        <w:tc>
          <w:tcPr>
            <w:tcW w:type="dxa" w:w="8760"/>
            <w:tcBorders>
              <w:top w:val="single" w:color="D1D5DB" w:sz="1"/>
              <w:left w:val="single" w:color="D1D5DB" w:sz="1"/>
              <w:bottom w:val="single" w:color="D1D5DB" w:sz="1"/>
              <w:right w:val="single" w:color="D1D5DB" w:sz="1"/>
            </w:tcBorders>
            <w:tcMar>
              <w:top w:type="dxa" w:w="120"/>
              <w:left w:type="dxa" w:w="180"/>
              <w:bottom w:type="dxa" w:w="120"/>
              <w:right w:type="dxa" w:w="180"/>
            </w:tcMar>
          </w:tcPr>
          <w:p>
            <w:pPr>
              <w:spacing w:after="60"/>
            </w:pPr>
            <w:r>
              <w:rPr>
                <w:rFonts w:ascii="Arial" w:cs="Arial" w:eastAsia="Arial" w:hAnsi="Arial"/>
                <w:b/>
                <w:bCs/>
                <w:color w:val="111827"/>
                <w:sz w:val="23"/>
                <w:szCs w:val="23"/>
              </w:rPr>
              <w:t xml:space="preserve">Reclassify Escatechnique in Equipment nav</w:t>
            </w:r>
          </w:p>
          <w:p>
            <w:pPr>
              <w:spacing w:after="100"/>
            </w:pPr>
            <w:r>
              <w:rPr>
                <w:rFonts w:ascii="Arial" w:cs="Arial" w:eastAsia="Arial" w:hAnsi="Arial"/>
                <w:i/>
                <w:iCs/>
                <w:color w:val="6B7280"/>
                <w:sz w:val="19"/>
                <w:szCs w:val="19"/>
              </w:rPr>
              <w:t xml:space="preserve">Content change  •  No dev needed</w:t>
            </w:r>
            <w:r>
              <w:rPr>
                <w:rFonts w:ascii="Arial" w:cs="Arial" w:eastAsia="Arial" w:hAnsi="Arial"/>
                <w:color w:val="6B7280"/>
                <w:sz w:val="18"/>
                <w:szCs w:val="18"/>
              </w:rPr>
              <w:t xml:space="preserve">  IA  </w:t>
            </w:r>
          </w:p>
          <w:p>
            <w:pPr>
              <w:spacing w:after="0"/>
            </w:pPr>
            <w:r>
              <w:rPr>
                <w:rFonts w:ascii="Arial" w:cs="Arial" w:eastAsia="Arial" w:hAnsi="Arial"/>
                <w:color w:val="111827"/>
                <w:sz w:val="20"/>
                <w:szCs w:val="20"/>
              </w:rPr>
              <w:t xml:space="preserve">Move Escatechnique out of the New / Used Equipment siblings. Options: a Specialty / Featured brands nav item, or a dedicated product line page linked from the equipment landing page.</w:t>
            </w:r>
          </w:p>
        </w:tc>
      </w:tr>
      <w:tr>
        <w:tc>
          <w:tcPr>
            <w:tcW w:type="dxa" w:w="600"/>
            <w:tcBorders>
              <w:top w:val="single" w:color="D1D5DB" w:sz="1"/>
              <w:left w:val="single" w:color="D1D5DB" w:sz="1"/>
              <w:bottom w:val="single" w:color="D1D5DB" w:sz="1"/>
              <w:right w:val="single" w:color="D1D5DB" w:sz="1"/>
            </w:tcBorders>
            <w:shd w:fill="F3F4F6" w:val="clear"/>
            <w:tcMar>
              <w:top w:type="dxa" w:w="80"/>
              <w:left w:type="dxa" w:w="140"/>
              <w:bottom w:type="dxa" w:w="80"/>
              <w:right w:type="dxa" w:w="140"/>
            </w:tcMar>
            <w:vAlign w:val="top"/>
          </w:tcPr>
          <w:p>
            <w:pPr>
              <w:spacing w:after="0"/>
              <w:jc w:val="center"/>
            </w:pPr>
            <w:r>
              <w:rPr>
                <w:rFonts w:ascii="Arial" w:cs="Arial" w:eastAsia="Arial" w:hAnsi="Arial"/>
                <w:b/>
                <w:bCs/>
                <w:color w:val="6B7280"/>
                <w:sz w:val="24"/>
                <w:szCs w:val="24"/>
              </w:rPr>
              <w:t xml:space="preserve">6</w:t>
            </w:r>
          </w:p>
        </w:tc>
        <w:tc>
          <w:tcPr>
            <w:tcW w:type="dxa" w:w="8760"/>
            <w:tcBorders>
              <w:top w:val="single" w:color="D1D5DB" w:sz="1"/>
              <w:left w:val="single" w:color="D1D5DB" w:sz="1"/>
              <w:bottom w:val="single" w:color="D1D5DB" w:sz="1"/>
              <w:right w:val="single" w:color="D1D5DB" w:sz="1"/>
            </w:tcBorders>
            <w:tcMar>
              <w:top w:type="dxa" w:w="120"/>
              <w:left w:type="dxa" w:w="180"/>
              <w:bottom w:type="dxa" w:w="120"/>
              <w:right w:type="dxa" w:w="180"/>
            </w:tcMar>
          </w:tcPr>
          <w:p>
            <w:pPr>
              <w:spacing w:after="60"/>
            </w:pPr>
            <w:r>
              <w:rPr>
                <w:rFonts w:ascii="Arial" w:cs="Arial" w:eastAsia="Arial" w:hAnsi="Arial"/>
                <w:b/>
                <w:bCs/>
                <w:color w:val="111827"/>
                <w:sz w:val="23"/>
                <w:szCs w:val="23"/>
              </w:rPr>
              <w:t xml:space="preserve">Move Pay an Invoice &amp; Returns to utility nav</w:t>
            </w:r>
          </w:p>
          <w:p>
            <w:pPr>
              <w:spacing w:after="100"/>
            </w:pPr>
            <w:r>
              <w:rPr>
                <w:rFonts w:ascii="Arial" w:cs="Arial" w:eastAsia="Arial" w:hAnsi="Arial"/>
                <w:i/>
                <w:iCs/>
                <w:color w:val="6B7280"/>
                <w:sz w:val="19"/>
                <w:szCs w:val="19"/>
              </w:rPr>
              <w:t xml:space="preserve">Dev — 30 min</w:t>
            </w:r>
            <w:r>
              <w:rPr>
                <w:rFonts w:ascii="Arial" w:cs="Arial" w:eastAsia="Arial" w:hAnsi="Arial"/>
                <w:color w:val="6B7280"/>
                <w:sz w:val="18"/>
                <w:szCs w:val="18"/>
              </w:rPr>
              <w:t xml:space="preserve">  UX  </w:t>
            </w:r>
            <w:r>
              <w:rPr>
                <w:rFonts w:ascii="Arial" w:cs="Arial" w:eastAsia="Arial" w:hAnsi="Arial"/>
                <w:color w:val="6B7280"/>
                <w:sz w:val="18"/>
                <w:szCs w:val="18"/>
              </w:rPr>
              <w:t xml:space="preserve">  B2B  </w:t>
            </w:r>
          </w:p>
          <w:p>
            <w:pPr>
              <w:spacing w:after="0"/>
            </w:pPr>
            <w:r>
              <w:rPr>
                <w:rFonts w:ascii="Arial" w:cs="Arial" w:eastAsia="Arial" w:hAnsi="Arial"/>
                <w:color w:val="111827"/>
                <w:sz w:val="20"/>
                <w:szCs w:val="20"/>
              </w:rPr>
              <w:t xml:space="preserve">Move both items from the About dropdown to the top utility bar alongside Sign In. These are task-based items for repeat B2B account holders, not brand-building content.</w:t>
            </w:r>
          </w:p>
        </w:tc>
      </w:tr>
      <w:tr>
        <w:tc>
          <w:tcPr>
            <w:tcW w:type="dxa" w:w="600"/>
            <w:tcBorders>
              <w:top w:val="single" w:color="D1D5DB" w:sz="1"/>
              <w:left w:val="single" w:color="D1D5DB" w:sz="1"/>
              <w:bottom w:val="single" w:color="D1D5DB" w:sz="1"/>
              <w:right w:val="single" w:color="D1D5DB" w:sz="1"/>
            </w:tcBorders>
            <w:shd w:fill="F3F4F6" w:val="clear"/>
            <w:tcMar>
              <w:top w:type="dxa" w:w="80"/>
              <w:left w:type="dxa" w:w="140"/>
              <w:bottom w:type="dxa" w:w="80"/>
              <w:right w:type="dxa" w:w="140"/>
            </w:tcMar>
            <w:vAlign w:val="top"/>
          </w:tcPr>
          <w:p>
            <w:pPr>
              <w:spacing w:after="0"/>
              <w:jc w:val="center"/>
            </w:pPr>
            <w:r>
              <w:rPr>
                <w:rFonts w:ascii="Arial" w:cs="Arial" w:eastAsia="Arial" w:hAnsi="Arial"/>
                <w:b/>
                <w:bCs/>
                <w:color w:val="6B7280"/>
                <w:sz w:val="24"/>
                <w:szCs w:val="24"/>
              </w:rPr>
              <w:t xml:space="preserve">7</w:t>
            </w:r>
          </w:p>
        </w:tc>
        <w:tc>
          <w:tcPr>
            <w:tcW w:type="dxa" w:w="8760"/>
            <w:tcBorders>
              <w:top w:val="single" w:color="D1D5DB" w:sz="1"/>
              <w:left w:val="single" w:color="D1D5DB" w:sz="1"/>
              <w:bottom w:val="single" w:color="D1D5DB" w:sz="1"/>
              <w:right w:val="single" w:color="D1D5DB" w:sz="1"/>
            </w:tcBorders>
            <w:tcMar>
              <w:top w:type="dxa" w:w="120"/>
              <w:left w:type="dxa" w:w="180"/>
              <w:bottom w:type="dxa" w:w="120"/>
              <w:right w:type="dxa" w:w="180"/>
            </w:tcMar>
          </w:tcPr>
          <w:p>
            <w:pPr>
              <w:spacing w:after="60"/>
            </w:pPr>
            <w:r>
              <w:rPr>
                <w:rFonts w:ascii="Arial" w:cs="Arial" w:eastAsia="Arial" w:hAnsi="Arial"/>
                <w:b/>
                <w:bCs/>
                <w:color w:val="111827"/>
                <w:sz w:val="23"/>
                <w:szCs w:val="23"/>
              </w:rPr>
              <w:t xml:space="preserve">Fix 'Shop Parts' top-level link destination</w:t>
            </w:r>
          </w:p>
          <w:p>
            <w:pPr>
              <w:spacing w:after="100"/>
            </w:pPr>
            <w:r>
              <w:rPr>
                <w:rFonts w:ascii="Arial" w:cs="Arial" w:eastAsia="Arial" w:hAnsi="Arial"/>
                <w:i/>
                <w:iCs/>
                <w:color w:val="6B7280"/>
                <w:sz w:val="19"/>
                <w:szCs w:val="19"/>
              </w:rPr>
              <w:t xml:space="preserve">Dev — 15 min</w:t>
            </w:r>
            <w:r>
              <w:rPr>
                <w:rFonts w:ascii="Arial" w:cs="Arial" w:eastAsia="Arial" w:hAnsi="Arial"/>
                <w:color w:val="6B7280"/>
                <w:sz w:val="18"/>
                <w:szCs w:val="18"/>
              </w:rPr>
              <w:t xml:space="preserve">  UX  </w:t>
            </w:r>
          </w:p>
          <w:p>
            <w:pPr>
              <w:spacing w:after="0"/>
            </w:pPr>
            <w:r>
              <w:rPr>
                <w:rFonts w:ascii="Arial" w:cs="Arial" w:eastAsia="Arial" w:hAnsi="Arial"/>
                <w:color w:val="111827"/>
                <w:sz w:val="20"/>
                <w:szCs w:val="20"/>
              </w:rPr>
              <w:t xml:space="preserve">Clicking Shop Parts currently drops users silently into /parts-and-supplies/ (manufacturer browse). Either build a neutral landing page that presents all three browse paths, or update the destination to reflect user expectations.</w:t>
            </w:r>
          </w:p>
        </w:tc>
      </w:tr>
      <w:tr>
        <w:tc>
          <w:tcPr>
            <w:gridSpan w:val="2"/>
            <w:tcBorders>
              <w:top w:val="single" w:color="D97706" w:sz="1"/>
              <w:left w:val="single" w:color="D97706" w:sz="1"/>
              <w:bottom w:val="single" w:color="D97706" w:sz="1"/>
              <w:right w:val="single" w:color="D97706" w:sz="1"/>
            </w:tcBorders>
            <w:shd w:fill="FEF3C7" w:val="clear"/>
            <w:tcMar>
              <w:top w:type="dxa" w:w="120"/>
              <w:left w:type="dxa" w:w="180"/>
              <w:bottom w:type="dxa" w:w="120"/>
              <w:right w:type="dxa" w:w="180"/>
            </w:tcMar>
          </w:tcPr>
          <w:p>
            <w:pPr>
              <w:spacing w:after="40"/>
            </w:pPr>
            <w:r>
              <w:rPr>
                <w:rFonts w:ascii="Arial" w:cs="Arial" w:eastAsia="Arial" w:hAnsi="Arial"/>
                <w:b/>
                <w:bCs/>
                <w:color w:val="D97706"/>
                <w:sz w:val="20"/>
                <w:szCs w:val="20"/>
              </w:rPr>
              <w:t xml:space="preserve">NEXT 30–60 DAYS</w:t>
            </w:r>
          </w:p>
          <w:p>
            <w:pPr>
              <w:spacing w:after="40"/>
            </w:pPr>
            <w:r>
              <w:rPr>
                <w:rFonts w:ascii="Arial" w:cs="Arial" w:eastAsia="Arial" w:hAnsi="Arial"/>
                <w:b/>
                <w:bCs/>
                <w:color w:val="1B3A6B"/>
                <w:sz w:val="26"/>
                <w:szCs w:val="26"/>
              </w:rPr>
              <w:t xml:space="preserve">Navigation restructure &amp; search improvements</w:t>
            </w:r>
          </w:p>
          <w:p>
            <w:pPr>
              <w:spacing w:after="0"/>
            </w:pPr>
            <w:r>
              <w:rPr>
                <w:rFonts w:ascii="Arial" w:cs="Arial" w:eastAsia="Arial" w:hAnsi="Arial"/>
                <w:color w:val="6B7280"/>
                <w:sz w:val="20"/>
                <w:szCs w:val="20"/>
              </w:rPr>
              <w:t xml:space="preserve">Design + Dev collaboration required</w:t>
            </w:r>
          </w:p>
        </w:tc>
      </w:tr>
      <w:tr>
        <w:tc>
          <w:tcPr>
            <w:tcW w:type="dxa" w:w="600"/>
            <w:tcBorders>
              <w:top w:val="single" w:color="D1D5DB" w:sz="1"/>
              <w:left w:val="single" w:color="D1D5DB" w:sz="1"/>
              <w:bottom w:val="single" w:color="D1D5DB" w:sz="1"/>
              <w:right w:val="single" w:color="D1D5DB" w:sz="1"/>
            </w:tcBorders>
            <w:shd w:fill="FEF3C7" w:val="clear"/>
            <w:tcMar>
              <w:top w:type="dxa" w:w="80"/>
              <w:left w:type="dxa" w:w="140"/>
              <w:bottom w:type="dxa" w:w="80"/>
              <w:right w:type="dxa" w:w="140"/>
            </w:tcMar>
            <w:vAlign w:val="top"/>
          </w:tcPr>
          <w:p>
            <w:pPr>
              <w:spacing w:after="0"/>
              <w:jc w:val="center"/>
            </w:pPr>
            <w:r>
              <w:rPr>
                <w:rFonts w:ascii="Arial" w:cs="Arial" w:eastAsia="Arial" w:hAnsi="Arial"/>
                <w:b/>
                <w:bCs/>
                <w:color w:val="D97706"/>
                <w:sz w:val="24"/>
                <w:szCs w:val="24"/>
              </w:rPr>
              <w:t xml:space="preserve">8</w:t>
            </w:r>
          </w:p>
        </w:tc>
        <w:tc>
          <w:tcPr>
            <w:tcW w:type="dxa" w:w="8760"/>
            <w:tcBorders>
              <w:top w:val="single" w:color="D1D5DB" w:sz="1"/>
              <w:left w:val="single" w:color="D1D5DB" w:sz="1"/>
              <w:bottom w:val="single" w:color="D1D5DB" w:sz="1"/>
              <w:right w:val="single" w:color="D1D5DB" w:sz="1"/>
            </w:tcBorders>
            <w:tcMar>
              <w:top w:type="dxa" w:w="120"/>
              <w:left w:type="dxa" w:w="180"/>
              <w:bottom w:type="dxa" w:w="120"/>
              <w:right w:type="dxa" w:w="180"/>
            </w:tcMar>
          </w:tcPr>
          <w:p>
            <w:pPr>
              <w:spacing w:after="60"/>
            </w:pPr>
            <w:r>
              <w:rPr>
                <w:rFonts w:ascii="Arial" w:cs="Arial" w:eastAsia="Arial" w:hAnsi="Arial"/>
                <w:b/>
                <w:bCs/>
                <w:color w:val="111827"/>
                <w:sz w:val="23"/>
                <w:szCs w:val="23"/>
              </w:rPr>
              <w:t xml:space="preserve">Elevate search as the primary homepage interaction</w:t>
            </w:r>
          </w:p>
          <w:p>
            <w:pPr>
              <w:spacing w:after="100"/>
            </w:pPr>
            <w:r>
              <w:rPr>
                <w:rFonts w:ascii="Arial" w:cs="Arial" w:eastAsia="Arial" w:hAnsi="Arial"/>
                <w:i/>
                <w:iCs/>
                <w:color w:val="6B7280"/>
                <w:sz w:val="19"/>
                <w:szCs w:val="19"/>
              </w:rPr>
              <w:t xml:space="preserve">UX + Dev</w:t>
            </w:r>
            <w:r>
              <w:rPr>
                <w:rFonts w:ascii="Arial" w:cs="Arial" w:eastAsia="Arial" w:hAnsi="Arial"/>
                <w:color w:val="6B7280"/>
                <w:sz w:val="18"/>
                <w:szCs w:val="18"/>
              </w:rPr>
              <w:t xml:space="preserve">  High impact  </w:t>
            </w:r>
            <w:r>
              <w:rPr>
                <w:rFonts w:ascii="Arial" w:cs="Arial" w:eastAsia="Arial" w:hAnsi="Arial"/>
                <w:color w:val="6B7280"/>
                <w:sz w:val="18"/>
                <w:szCs w:val="18"/>
              </w:rPr>
              <w:t xml:space="preserve">  Search  </w:t>
            </w:r>
          </w:p>
          <w:p>
            <w:pPr>
              <w:spacing w:after="0"/>
            </w:pPr>
            <w:r>
              <w:rPr>
                <w:rFonts w:ascii="Arial" w:cs="Arial" w:eastAsia="Arial" w:hAnsi="Arial"/>
                <w:color w:val="111827"/>
                <w:sz w:val="20"/>
                <w:szCs w:val="20"/>
              </w:rPr>
              <w:t xml:space="preserve">The homepage hero currently leads with three browse CTAs. Replace with a large, prominent search bar as the dominant element. Placeholder text ('Search by part number, brand, or machine model') resolves the three-door problem without requiring a full nav restructure. The 9.8× search:browse ratio justifies this as the primary UI.</w:t>
            </w:r>
          </w:p>
        </w:tc>
      </w:tr>
      <w:tr>
        <w:tc>
          <w:tcPr>
            <w:tcW w:type="dxa" w:w="600"/>
            <w:tcBorders>
              <w:top w:val="single" w:color="D1D5DB" w:sz="1"/>
              <w:left w:val="single" w:color="D1D5DB" w:sz="1"/>
              <w:bottom w:val="single" w:color="D1D5DB" w:sz="1"/>
              <w:right w:val="single" w:color="D1D5DB" w:sz="1"/>
            </w:tcBorders>
            <w:shd w:fill="F3F4F6" w:val="clear"/>
            <w:tcMar>
              <w:top w:type="dxa" w:w="80"/>
              <w:left w:type="dxa" w:w="140"/>
              <w:bottom w:type="dxa" w:w="80"/>
              <w:right w:type="dxa" w:w="140"/>
            </w:tcMar>
            <w:vAlign w:val="top"/>
          </w:tcPr>
          <w:p>
            <w:pPr>
              <w:spacing w:after="0"/>
              <w:jc w:val="center"/>
            </w:pPr>
            <w:r>
              <w:rPr>
                <w:rFonts w:ascii="Arial" w:cs="Arial" w:eastAsia="Arial" w:hAnsi="Arial"/>
                <w:b/>
                <w:bCs/>
                <w:color w:val="6B7280"/>
                <w:sz w:val="24"/>
                <w:szCs w:val="24"/>
              </w:rPr>
              <w:t xml:space="preserve">9</w:t>
            </w:r>
          </w:p>
        </w:tc>
        <w:tc>
          <w:tcPr>
            <w:tcW w:type="dxa" w:w="8760"/>
            <w:tcBorders>
              <w:top w:val="single" w:color="D1D5DB" w:sz="1"/>
              <w:left w:val="single" w:color="D1D5DB" w:sz="1"/>
              <w:bottom w:val="single" w:color="D1D5DB" w:sz="1"/>
              <w:right w:val="single" w:color="D1D5DB" w:sz="1"/>
            </w:tcBorders>
            <w:tcMar>
              <w:top w:type="dxa" w:w="120"/>
              <w:left w:type="dxa" w:w="180"/>
              <w:bottom w:type="dxa" w:w="120"/>
              <w:right w:type="dxa" w:w="180"/>
            </w:tcMar>
          </w:tcPr>
          <w:p>
            <w:pPr>
              <w:spacing w:after="60"/>
            </w:pPr>
            <w:r>
              <w:rPr>
                <w:rFonts w:ascii="Arial" w:cs="Arial" w:eastAsia="Arial" w:hAnsi="Arial"/>
                <w:b/>
                <w:bCs/>
                <w:color w:val="111827"/>
                <w:sz w:val="23"/>
                <w:szCs w:val="23"/>
              </w:rPr>
              <w:t xml:space="preserve">Surface all 40+ part categories in the nav</w:t>
            </w:r>
          </w:p>
          <w:p>
            <w:pPr>
              <w:spacing w:after="100"/>
            </w:pPr>
            <w:r>
              <w:rPr>
                <w:rFonts w:ascii="Arial" w:cs="Arial" w:eastAsia="Arial" w:hAnsi="Arial"/>
                <w:i/>
                <w:iCs/>
                <w:color w:val="6B7280"/>
                <w:sz w:val="19"/>
                <w:szCs w:val="19"/>
              </w:rPr>
              <w:t xml:space="preserve">UX + Dev</w:t>
            </w:r>
            <w:r>
              <w:rPr>
                <w:rFonts w:ascii="Arial" w:cs="Arial" w:eastAsia="Arial" w:hAnsi="Arial"/>
                <w:color w:val="6B7280"/>
                <w:sz w:val="18"/>
                <w:szCs w:val="18"/>
              </w:rPr>
              <w:t xml:space="preserve">  IA  </w:t>
            </w:r>
            <w:r>
              <w:rPr>
                <w:rFonts w:ascii="Arial" w:cs="Arial" w:eastAsia="Arial" w:hAnsi="Arial"/>
                <w:color w:val="6B7280"/>
                <w:sz w:val="18"/>
                <w:szCs w:val="18"/>
              </w:rPr>
              <w:t xml:space="preserve">  Navigation  </w:t>
            </w:r>
          </w:p>
          <w:p>
            <w:pPr>
              <w:spacing w:after="0"/>
            </w:pPr>
            <w:r>
              <w:rPr>
                <w:rFonts w:ascii="Arial" w:cs="Arial" w:eastAsia="Arial" w:hAnsi="Arial"/>
                <w:color w:val="111827"/>
                <w:sz w:val="20"/>
                <w:szCs w:val="20"/>
              </w:rPr>
              <w:t xml:space="preserve">Group the full category list into logical sections within a megamenu: Consumables (bags, filters, pads, chemicals, brushes, blades), Drive &amp; Motion (belts, motors, wheels, axles), Electrical (switches, control boards, cords), Structural (body/exterior, deck parts, hoses, fittings). Makes the full catalog scannable.</w:t>
            </w:r>
          </w:p>
        </w:tc>
      </w:tr>
      <w:tr>
        <w:tc>
          <w:tcPr>
            <w:tcW w:type="dxa" w:w="600"/>
            <w:tcBorders>
              <w:top w:val="single" w:color="D1D5DB" w:sz="1"/>
              <w:left w:val="single" w:color="D1D5DB" w:sz="1"/>
              <w:bottom w:val="single" w:color="D1D5DB" w:sz="1"/>
              <w:right w:val="single" w:color="D1D5DB" w:sz="1"/>
            </w:tcBorders>
            <w:shd w:fill="F3F4F6" w:val="clear"/>
            <w:tcMar>
              <w:top w:type="dxa" w:w="80"/>
              <w:left w:type="dxa" w:w="140"/>
              <w:bottom w:type="dxa" w:w="80"/>
              <w:right w:type="dxa" w:w="140"/>
            </w:tcMar>
            <w:vAlign w:val="top"/>
          </w:tcPr>
          <w:p>
            <w:pPr>
              <w:spacing w:after="0"/>
              <w:jc w:val="center"/>
            </w:pPr>
            <w:r>
              <w:rPr>
                <w:rFonts w:ascii="Arial" w:cs="Arial" w:eastAsia="Arial" w:hAnsi="Arial"/>
                <w:b/>
                <w:bCs/>
                <w:color w:val="6B7280"/>
                <w:sz w:val="24"/>
                <w:szCs w:val="24"/>
              </w:rPr>
              <w:t xml:space="preserve">10</w:t>
            </w:r>
          </w:p>
        </w:tc>
        <w:tc>
          <w:tcPr>
            <w:tcW w:type="dxa" w:w="8760"/>
            <w:tcBorders>
              <w:top w:val="single" w:color="D1D5DB" w:sz="1"/>
              <w:left w:val="single" w:color="D1D5DB" w:sz="1"/>
              <w:bottom w:val="single" w:color="D1D5DB" w:sz="1"/>
              <w:right w:val="single" w:color="D1D5DB" w:sz="1"/>
            </w:tcBorders>
            <w:tcMar>
              <w:top w:type="dxa" w:w="120"/>
              <w:left w:type="dxa" w:w="180"/>
              <w:bottom w:type="dxa" w:w="120"/>
              <w:right w:type="dxa" w:w="180"/>
            </w:tcMar>
          </w:tcPr>
          <w:p>
            <w:pPr>
              <w:spacing w:after="60"/>
            </w:pPr>
            <w:r>
              <w:rPr>
                <w:rFonts w:ascii="Arial" w:cs="Arial" w:eastAsia="Arial" w:hAnsi="Arial"/>
                <w:b/>
                <w:bCs/>
                <w:color w:val="111827"/>
                <w:sz w:val="23"/>
                <w:szCs w:val="23"/>
              </w:rPr>
              <w:t xml:space="preserve">Redesign mobile navigation</w:t>
            </w:r>
          </w:p>
          <w:p>
            <w:pPr>
              <w:spacing w:after="100"/>
            </w:pPr>
            <w:r>
              <w:rPr>
                <w:rFonts w:ascii="Arial" w:cs="Arial" w:eastAsia="Arial" w:hAnsi="Arial"/>
                <w:i/>
                <w:iCs/>
                <w:color w:val="6B7280"/>
                <w:sz w:val="19"/>
                <w:szCs w:val="19"/>
              </w:rPr>
              <w:t xml:space="preserve">UX design + Dev</w:t>
            </w:r>
            <w:r>
              <w:rPr>
                <w:rFonts w:ascii="Arial" w:cs="Arial" w:eastAsia="Arial" w:hAnsi="Arial"/>
                <w:color w:val="6B7280"/>
                <w:sz w:val="18"/>
                <w:szCs w:val="18"/>
              </w:rPr>
              <w:t xml:space="preserve">  Mobile  </w:t>
            </w:r>
            <w:r>
              <w:rPr>
                <w:rFonts w:ascii="Arial" w:cs="Arial" w:eastAsia="Arial" w:hAnsi="Arial"/>
                <w:color w:val="6B7280"/>
                <w:sz w:val="18"/>
                <w:szCs w:val="18"/>
              </w:rPr>
              <w:t xml:space="preserve">  37% of traffic  </w:t>
            </w:r>
          </w:p>
          <w:p>
            <w:pPr>
              <w:spacing w:after="0"/>
            </w:pPr>
            <w:r>
              <w:rPr>
                <w:rFonts w:ascii="Arial" w:cs="Arial" w:eastAsia="Arial" w:hAnsi="Arial"/>
                <w:color w:val="111827"/>
                <w:sz w:val="20"/>
                <w:szCs w:val="20"/>
              </w:rPr>
              <w:t xml:space="preserve">Replace the desktop dropdown replica with a flat accordion nav. Search pinned to top bar, hamburger expanding to a single-column list with expandable sections. Two taps maximum to any category. Mobile users are disproportionately forced into search because the nav does not work at 375px.</w:t>
            </w:r>
          </w:p>
        </w:tc>
      </w:tr>
      <w:tr>
        <w:tc>
          <w:tcPr>
            <w:tcW w:type="dxa" w:w="600"/>
            <w:tcBorders>
              <w:top w:val="single" w:color="D1D5DB" w:sz="1"/>
              <w:left w:val="single" w:color="D1D5DB" w:sz="1"/>
              <w:bottom w:val="single" w:color="D1D5DB" w:sz="1"/>
              <w:right w:val="single" w:color="D1D5DB" w:sz="1"/>
            </w:tcBorders>
            <w:shd w:fill="F3F4F6" w:val="clear"/>
            <w:tcMar>
              <w:top w:type="dxa" w:w="80"/>
              <w:left w:type="dxa" w:w="140"/>
              <w:bottom w:type="dxa" w:w="80"/>
              <w:right w:type="dxa" w:w="140"/>
            </w:tcMar>
            <w:vAlign w:val="top"/>
          </w:tcPr>
          <w:p>
            <w:pPr>
              <w:spacing w:after="0"/>
              <w:jc w:val="center"/>
            </w:pPr>
            <w:r>
              <w:rPr>
                <w:rFonts w:ascii="Arial" w:cs="Arial" w:eastAsia="Arial" w:hAnsi="Arial"/>
                <w:b/>
                <w:bCs/>
                <w:color w:val="6B7280"/>
                <w:sz w:val="24"/>
                <w:szCs w:val="24"/>
              </w:rPr>
              <w:t xml:space="preserve">11</w:t>
            </w:r>
          </w:p>
        </w:tc>
        <w:tc>
          <w:tcPr>
            <w:tcW w:type="dxa" w:w="8760"/>
            <w:tcBorders>
              <w:top w:val="single" w:color="D1D5DB" w:sz="1"/>
              <w:left w:val="single" w:color="D1D5DB" w:sz="1"/>
              <w:bottom w:val="single" w:color="D1D5DB" w:sz="1"/>
              <w:right w:val="single" w:color="D1D5DB" w:sz="1"/>
            </w:tcBorders>
            <w:tcMar>
              <w:top w:type="dxa" w:w="120"/>
              <w:left w:type="dxa" w:w="180"/>
              <w:bottom w:type="dxa" w:w="120"/>
              <w:right w:type="dxa" w:w="180"/>
            </w:tcMar>
          </w:tcPr>
          <w:p>
            <w:pPr>
              <w:spacing w:after="60"/>
            </w:pPr>
            <w:r>
              <w:rPr>
                <w:rFonts w:ascii="Arial" w:cs="Arial" w:eastAsia="Arial" w:hAnsi="Arial"/>
                <w:b/>
                <w:bCs/>
                <w:color w:val="111827"/>
                <w:sz w:val="23"/>
                <w:szCs w:val="23"/>
              </w:rPr>
              <w:t xml:space="preserve">Fix Cumulative Layout Shift (CLS = 0.29)</w:t>
            </w:r>
          </w:p>
          <w:p>
            <w:pPr>
              <w:spacing w:after="100"/>
            </w:pPr>
            <w:r>
              <w:rPr>
                <w:rFonts w:ascii="Arial" w:cs="Arial" w:eastAsia="Arial" w:hAnsi="Arial"/>
                <w:i/>
                <w:iCs/>
                <w:color w:val="6B7280"/>
                <w:sz w:val="19"/>
                <w:szCs w:val="19"/>
              </w:rPr>
              <w:t xml:space="preserve">Dev  •  Core Web Vitals</w:t>
            </w:r>
            <w:r>
              <w:rPr>
                <w:rFonts w:ascii="Arial" w:cs="Arial" w:eastAsia="Arial" w:hAnsi="Arial"/>
                <w:color w:val="6B7280"/>
                <w:sz w:val="18"/>
                <w:szCs w:val="18"/>
              </w:rPr>
              <w:t xml:space="preserve">  SEO  </w:t>
            </w:r>
            <w:r>
              <w:rPr>
                <w:rFonts w:ascii="Arial" w:cs="Arial" w:eastAsia="Arial" w:hAnsi="Arial"/>
                <w:color w:val="6B7280"/>
                <w:sz w:val="18"/>
                <w:szCs w:val="18"/>
              </w:rPr>
              <w:t xml:space="preserve">  Performance  </w:t>
            </w:r>
          </w:p>
          <w:p>
            <w:pPr>
              <w:spacing w:after="0"/>
            </w:pPr>
            <w:r>
              <w:rPr>
                <w:rFonts w:ascii="Arial" w:cs="Arial" w:eastAsia="Arial" w:hAnsi="Arial"/>
                <w:color w:val="111827"/>
                <w:sz w:val="20"/>
                <w:szCs w:val="20"/>
              </w:rPr>
              <w:t xml:space="preserve">CLS of 0.29 exceeds Google's poor threshold of 0.25. Likely causes: images without explicit dimensions, late-loading web fonts, Hawksearch injecting the results component after initial paint. Run Lighthouse to identify shifting elements. Explicit image dimensions and font-display strategy will likely resolve it.</w:t>
            </w:r>
          </w:p>
        </w:tc>
      </w:tr>
      <w:tr>
        <w:tc>
          <w:tcPr>
            <w:gridSpan w:val="2"/>
            <w:tcBorders>
              <w:top w:val="single" w:color="2563EB" w:sz="1"/>
              <w:left w:val="single" w:color="2563EB" w:sz="1"/>
              <w:bottom w:val="single" w:color="2563EB" w:sz="1"/>
              <w:right w:val="single" w:color="2563EB" w:sz="1"/>
            </w:tcBorders>
            <w:shd w:fill="DBEAFE" w:val="clear"/>
            <w:tcMar>
              <w:top w:type="dxa" w:w="120"/>
              <w:left w:type="dxa" w:w="180"/>
              <w:bottom w:type="dxa" w:w="120"/>
              <w:right w:type="dxa" w:w="180"/>
            </w:tcMar>
          </w:tcPr>
          <w:p>
            <w:pPr>
              <w:spacing w:after="40"/>
            </w:pPr>
            <w:r>
              <w:rPr>
                <w:rFonts w:ascii="Arial" w:cs="Arial" w:eastAsia="Arial" w:hAnsi="Arial"/>
                <w:b/>
                <w:bCs/>
                <w:color w:val="2563EB"/>
                <w:sz w:val="20"/>
                <w:szCs w:val="20"/>
              </w:rPr>
              <w:t xml:space="preserve">60–120 DAYS</w:t>
            </w:r>
          </w:p>
          <w:p>
            <w:pPr>
              <w:spacing w:after="40"/>
            </w:pPr>
            <w:r>
              <w:rPr>
                <w:rFonts w:ascii="Arial" w:cs="Arial" w:eastAsia="Arial" w:hAnsi="Arial"/>
                <w:b/>
                <w:bCs/>
                <w:color w:val="1B3A6B"/>
                <w:sz w:val="26"/>
                <w:szCs w:val="26"/>
              </w:rPr>
              <w:t xml:space="preserve">Rethink the IA from intent, not taxonomy</w:t>
            </w:r>
          </w:p>
          <w:p>
            <w:pPr>
              <w:spacing w:after="0"/>
            </w:pPr>
            <w:r>
              <w:rPr>
                <w:rFonts w:ascii="Arial" w:cs="Arial" w:eastAsia="Arial" w:hAnsi="Arial"/>
                <w:color w:val="6B7280"/>
                <w:sz w:val="20"/>
                <w:szCs w:val="20"/>
              </w:rPr>
              <w:t xml:space="preserve">Discovery + design + significant dev investment</w:t>
            </w:r>
          </w:p>
        </w:tc>
      </w:tr>
      <w:tr>
        <w:tc>
          <w:tcPr>
            <w:tcW w:type="dxa" w:w="600"/>
            <w:tcBorders>
              <w:top w:val="single" w:color="D1D5DB" w:sz="1"/>
              <w:left w:val="single" w:color="D1D5DB" w:sz="1"/>
              <w:bottom w:val="single" w:color="D1D5DB" w:sz="1"/>
              <w:right w:val="single" w:color="D1D5DB" w:sz="1"/>
            </w:tcBorders>
            <w:shd w:fill="DBEAFE" w:val="clear"/>
            <w:tcMar>
              <w:top w:type="dxa" w:w="80"/>
              <w:left w:type="dxa" w:w="140"/>
              <w:bottom w:type="dxa" w:w="80"/>
              <w:right w:type="dxa" w:w="140"/>
            </w:tcMar>
            <w:vAlign w:val="top"/>
          </w:tcPr>
          <w:p>
            <w:pPr>
              <w:spacing w:after="0"/>
              <w:jc w:val="center"/>
            </w:pPr>
            <w:r>
              <w:rPr>
                <w:rFonts w:ascii="Arial" w:cs="Arial" w:eastAsia="Arial" w:hAnsi="Arial"/>
                <w:b/>
                <w:bCs/>
                <w:color w:val="2563EB"/>
                <w:sz w:val="24"/>
                <w:szCs w:val="24"/>
              </w:rPr>
              <w:t xml:space="preserve">12</w:t>
            </w:r>
          </w:p>
        </w:tc>
        <w:tc>
          <w:tcPr>
            <w:tcW w:type="dxa" w:w="8760"/>
            <w:tcBorders>
              <w:top w:val="single" w:color="D1D5DB" w:sz="1"/>
              <w:left w:val="single" w:color="D1D5DB" w:sz="1"/>
              <w:bottom w:val="single" w:color="D1D5DB" w:sz="1"/>
              <w:right w:val="single" w:color="D1D5DB" w:sz="1"/>
            </w:tcBorders>
            <w:tcMar>
              <w:top w:type="dxa" w:w="120"/>
              <w:left w:type="dxa" w:w="180"/>
              <w:bottom w:type="dxa" w:w="120"/>
              <w:right w:type="dxa" w:w="180"/>
            </w:tcMar>
          </w:tcPr>
          <w:p>
            <w:pPr>
              <w:spacing w:after="60"/>
            </w:pPr>
            <w:r>
              <w:rPr>
                <w:rFonts w:ascii="Arial" w:cs="Arial" w:eastAsia="Arial" w:hAnsi="Arial"/>
                <w:b/>
                <w:bCs/>
                <w:color w:val="111827"/>
                <w:sz w:val="23"/>
                <w:szCs w:val="23"/>
              </w:rPr>
              <w:t xml:space="preserve">Build a model number / machine lookup path</w:t>
            </w:r>
          </w:p>
          <w:p>
            <w:pPr>
              <w:spacing w:after="100"/>
            </w:pPr>
            <w:r>
              <w:rPr>
                <w:rFonts w:ascii="Arial" w:cs="Arial" w:eastAsia="Arial" w:hAnsi="Arial"/>
                <w:i/>
                <w:iCs/>
                <w:color w:val="6B7280"/>
                <w:sz w:val="19"/>
                <w:szCs w:val="19"/>
              </w:rPr>
              <w:t xml:space="preserve">Dev — significant  •  UX design</w:t>
            </w:r>
            <w:r>
              <w:rPr>
                <w:rFonts w:ascii="Arial" w:cs="Arial" w:eastAsia="Arial" w:hAnsi="Arial"/>
                <w:color w:val="6B7280"/>
                <w:sz w:val="18"/>
                <w:szCs w:val="18"/>
              </w:rPr>
              <w:t xml:space="preserve">  High impact  </w:t>
            </w:r>
            <w:r>
              <w:rPr>
                <w:rFonts w:ascii="Arial" w:cs="Arial" w:eastAsia="Arial" w:hAnsi="Arial"/>
                <w:color w:val="6B7280"/>
                <w:sz w:val="18"/>
                <w:szCs w:val="18"/>
              </w:rPr>
              <w:t xml:space="preserve">  Core feature  </w:t>
            </w:r>
          </w:p>
          <w:p>
            <w:pPr>
              <w:spacing w:after="0"/>
            </w:pPr>
            <w:r>
              <w:rPr>
                <w:rFonts w:ascii="Arial" w:cs="Arial" w:eastAsia="Arial" w:hAnsi="Arial"/>
                <w:color w:val="111827"/>
                <w:sz w:val="20"/>
                <w:szCs w:val="20"/>
              </w:rPr>
              <w:t xml:space="preserve">The dominant user job is: I have a specific machine, I need parts for it. A model number or machine lookup intercepts this intent at step one rather than requiring brand → category → equipment type navigation decisions. Hawksearch already has the data. The TASKI Swingo 750B page (81 sessions) shows users are already self-routing brand → model.</w:t>
            </w:r>
          </w:p>
        </w:tc>
      </w:tr>
      <w:tr>
        <w:tc>
          <w:tcPr>
            <w:tcW w:type="dxa" w:w="600"/>
            <w:tcBorders>
              <w:top w:val="single" w:color="D1D5DB" w:sz="1"/>
              <w:left w:val="single" w:color="D1D5DB" w:sz="1"/>
              <w:bottom w:val="single" w:color="D1D5DB" w:sz="1"/>
              <w:right w:val="single" w:color="D1D5DB" w:sz="1"/>
            </w:tcBorders>
            <w:shd w:fill="F3F4F6" w:val="clear"/>
            <w:tcMar>
              <w:top w:type="dxa" w:w="80"/>
              <w:left w:type="dxa" w:w="140"/>
              <w:bottom w:type="dxa" w:w="80"/>
              <w:right w:type="dxa" w:w="140"/>
            </w:tcMar>
            <w:vAlign w:val="top"/>
          </w:tcPr>
          <w:p>
            <w:pPr>
              <w:spacing w:after="0"/>
              <w:jc w:val="center"/>
            </w:pPr>
            <w:r>
              <w:rPr>
                <w:rFonts w:ascii="Arial" w:cs="Arial" w:eastAsia="Arial" w:hAnsi="Arial"/>
                <w:b/>
                <w:bCs/>
                <w:color w:val="6B7280"/>
                <w:sz w:val="24"/>
                <w:szCs w:val="24"/>
              </w:rPr>
              <w:t xml:space="preserve">13</w:t>
            </w:r>
          </w:p>
        </w:tc>
        <w:tc>
          <w:tcPr>
            <w:tcW w:type="dxa" w:w="8760"/>
            <w:tcBorders>
              <w:top w:val="single" w:color="D1D5DB" w:sz="1"/>
              <w:left w:val="single" w:color="D1D5DB" w:sz="1"/>
              <w:bottom w:val="single" w:color="D1D5DB" w:sz="1"/>
              <w:right w:val="single" w:color="D1D5DB" w:sz="1"/>
            </w:tcBorders>
            <w:tcMar>
              <w:top w:type="dxa" w:w="120"/>
              <w:left w:type="dxa" w:w="180"/>
              <w:bottom w:type="dxa" w:w="120"/>
              <w:right w:type="dxa" w:w="180"/>
            </w:tcMar>
          </w:tcPr>
          <w:p>
            <w:pPr>
              <w:spacing w:after="60"/>
            </w:pPr>
            <w:r>
              <w:rPr>
                <w:rFonts w:ascii="Arial" w:cs="Arial" w:eastAsia="Arial" w:hAnsi="Arial"/>
                <w:b/>
                <w:bCs/>
                <w:color w:val="111827"/>
                <w:sz w:val="23"/>
                <w:szCs w:val="23"/>
              </w:rPr>
              <w:t xml:space="preserve">Separate consumables from repair parts at top nav level</w:t>
            </w:r>
          </w:p>
          <w:p>
            <w:pPr>
              <w:spacing w:after="100"/>
            </w:pPr>
            <w:r>
              <w:rPr>
                <w:rFonts w:ascii="Arial" w:cs="Arial" w:eastAsia="Arial" w:hAnsi="Arial"/>
                <w:i/>
                <w:iCs/>
                <w:color w:val="6B7280"/>
                <w:sz w:val="19"/>
                <w:szCs w:val="19"/>
              </w:rPr>
              <w:t xml:space="preserve">UX IA restructure + Dev</w:t>
            </w:r>
            <w:r>
              <w:rPr>
                <w:rFonts w:ascii="Arial" w:cs="Arial" w:eastAsia="Arial" w:hAnsi="Arial"/>
                <w:color w:val="6B7280"/>
                <w:sz w:val="18"/>
                <w:szCs w:val="18"/>
              </w:rPr>
              <w:t xml:space="preserve">  IA  </w:t>
            </w:r>
            <w:r>
              <w:rPr>
                <w:rFonts w:ascii="Arial" w:cs="Arial" w:eastAsia="Arial" w:hAnsi="Arial"/>
                <w:color w:val="6B7280"/>
                <w:sz w:val="18"/>
                <w:szCs w:val="18"/>
              </w:rPr>
              <w:t xml:space="preserve">  Two audiences  </w:t>
            </w:r>
          </w:p>
          <w:p>
            <w:pPr>
              <w:spacing w:after="0"/>
            </w:pPr>
            <w:r>
              <w:rPr>
                <w:rFonts w:ascii="Arial" w:cs="Arial" w:eastAsia="Arial" w:hAnsi="Arial"/>
                <w:color w:val="111827"/>
                <w:sz w:val="20"/>
                <w:szCs w:val="20"/>
              </w:rPr>
              <w:t xml:space="preserve">Consumables (bags, filters, pads, chemicals) are restocking decisions made by purchasing managers on schedules. Repair parts (motors, control boards, belts, switches) are urgent failure-triggered decisions made by technicians. Separating them allows different browse optimisations: price-per-unit and bulk qty for consumables; compatibility and machine fit for repair parts.</w:t>
            </w:r>
          </w:p>
        </w:tc>
      </w:tr>
      <w:tr>
        <w:tc>
          <w:tcPr>
            <w:tcW w:type="dxa" w:w="600"/>
            <w:tcBorders>
              <w:top w:val="single" w:color="D1D5DB" w:sz="1"/>
              <w:left w:val="single" w:color="D1D5DB" w:sz="1"/>
              <w:bottom w:val="single" w:color="D1D5DB" w:sz="1"/>
              <w:right w:val="single" w:color="D1D5DB" w:sz="1"/>
            </w:tcBorders>
            <w:shd w:fill="F3F4F6" w:val="clear"/>
            <w:tcMar>
              <w:top w:type="dxa" w:w="80"/>
              <w:left w:type="dxa" w:w="140"/>
              <w:bottom w:type="dxa" w:w="80"/>
              <w:right w:type="dxa" w:w="140"/>
            </w:tcMar>
            <w:vAlign w:val="top"/>
          </w:tcPr>
          <w:p>
            <w:pPr>
              <w:spacing w:after="0"/>
              <w:jc w:val="center"/>
            </w:pPr>
            <w:r>
              <w:rPr>
                <w:rFonts w:ascii="Arial" w:cs="Arial" w:eastAsia="Arial" w:hAnsi="Arial"/>
                <w:b/>
                <w:bCs/>
                <w:color w:val="6B7280"/>
                <w:sz w:val="24"/>
                <w:szCs w:val="24"/>
              </w:rPr>
              <w:t xml:space="preserve">14</w:t>
            </w:r>
          </w:p>
        </w:tc>
        <w:tc>
          <w:tcPr>
            <w:tcW w:type="dxa" w:w="8760"/>
            <w:tcBorders>
              <w:top w:val="single" w:color="D1D5DB" w:sz="1"/>
              <w:left w:val="single" w:color="D1D5DB" w:sz="1"/>
              <w:bottom w:val="single" w:color="D1D5DB" w:sz="1"/>
              <w:right w:val="single" w:color="D1D5DB" w:sz="1"/>
            </w:tcBorders>
            <w:tcMar>
              <w:top w:type="dxa" w:w="120"/>
              <w:left w:type="dxa" w:w="180"/>
              <w:bottom w:type="dxa" w:w="120"/>
              <w:right w:type="dxa" w:w="180"/>
            </w:tcMar>
          </w:tcPr>
          <w:p>
            <w:pPr>
              <w:spacing w:after="60"/>
            </w:pPr>
            <w:r>
              <w:rPr>
                <w:rFonts w:ascii="Arial" w:cs="Arial" w:eastAsia="Arial" w:hAnsi="Arial"/>
                <w:b/>
                <w:bCs/>
                <w:color w:val="111827"/>
                <w:sz w:val="23"/>
                <w:szCs w:val="23"/>
              </w:rPr>
              <w:t xml:space="preserve">Reorganise Equipment nav by type; condition as filter</w:t>
            </w:r>
          </w:p>
          <w:p>
            <w:pPr>
              <w:spacing w:after="100"/>
            </w:pPr>
            <w:r>
              <w:rPr>
                <w:rFonts w:ascii="Arial" w:cs="Arial" w:eastAsia="Arial" w:hAnsi="Arial"/>
                <w:i/>
                <w:iCs/>
                <w:color w:val="6B7280"/>
                <w:sz w:val="19"/>
                <w:szCs w:val="19"/>
              </w:rPr>
              <w:t xml:space="preserve">UX IA restructure</w:t>
            </w:r>
            <w:r>
              <w:rPr>
                <w:rFonts w:ascii="Arial" w:cs="Arial" w:eastAsia="Arial" w:hAnsi="Arial"/>
                <w:color w:val="6B7280"/>
                <w:sz w:val="18"/>
                <w:szCs w:val="18"/>
              </w:rPr>
              <w:t xml:space="preserve">  IA  </w:t>
            </w:r>
            <w:r>
              <w:rPr>
                <w:rFonts w:ascii="Arial" w:cs="Arial" w:eastAsia="Arial" w:hAnsi="Arial"/>
                <w:color w:val="6B7280"/>
                <w:sz w:val="18"/>
                <w:szCs w:val="18"/>
              </w:rPr>
              <w:t xml:space="preserve">  Equipment  </w:t>
            </w:r>
          </w:p>
          <w:p>
            <w:pPr>
              <w:spacing w:after="0"/>
            </w:pPr>
            <w:r>
              <w:rPr>
                <w:rFonts w:ascii="Arial" w:cs="Arial" w:eastAsia="Arial" w:hAnsi="Arial"/>
                <w:color w:val="111827"/>
                <w:sz w:val="20"/>
                <w:szCs w:val="20"/>
              </w:rPr>
              <w:t xml:space="preserve">Current nav splits by condition first (New / Used). Restructure to lead by type: Floor scrubbers, Sweepers, Extractors, Pressure washers, Autonomous, Buffers &amp; burnishers. New / Used / Certified refurbished become facet filters within each type page. Matches the mental model of facility buyers.</w:t>
            </w:r>
          </w:p>
        </w:tc>
      </w:tr>
      <w:tr>
        <w:tc>
          <w:tcPr>
            <w:tcW w:type="dxa" w:w="600"/>
            <w:tcBorders>
              <w:top w:val="single" w:color="D1D5DB" w:sz="1"/>
              <w:left w:val="single" w:color="D1D5DB" w:sz="1"/>
              <w:bottom w:val="single" w:color="D1D5DB" w:sz="1"/>
              <w:right w:val="single" w:color="D1D5DB" w:sz="1"/>
            </w:tcBorders>
            <w:shd w:fill="F3F4F6" w:val="clear"/>
            <w:tcMar>
              <w:top w:type="dxa" w:w="80"/>
              <w:left w:type="dxa" w:w="140"/>
              <w:bottom w:type="dxa" w:w="80"/>
              <w:right w:type="dxa" w:w="140"/>
            </w:tcMar>
            <w:vAlign w:val="top"/>
          </w:tcPr>
          <w:p>
            <w:pPr>
              <w:spacing w:after="0"/>
              <w:jc w:val="center"/>
            </w:pPr>
            <w:r>
              <w:rPr>
                <w:rFonts w:ascii="Arial" w:cs="Arial" w:eastAsia="Arial" w:hAnsi="Arial"/>
                <w:b/>
                <w:bCs/>
                <w:color w:val="6B7280"/>
                <w:sz w:val="24"/>
                <w:szCs w:val="24"/>
              </w:rPr>
              <w:t xml:space="preserve">15</w:t>
            </w:r>
          </w:p>
        </w:tc>
        <w:tc>
          <w:tcPr>
            <w:tcW w:type="dxa" w:w="8760"/>
            <w:tcBorders>
              <w:top w:val="single" w:color="D1D5DB" w:sz="1"/>
              <w:left w:val="single" w:color="D1D5DB" w:sz="1"/>
              <w:bottom w:val="single" w:color="D1D5DB" w:sz="1"/>
              <w:right w:val="single" w:color="D1D5DB" w:sz="1"/>
            </w:tcBorders>
            <w:tcMar>
              <w:top w:type="dxa" w:w="120"/>
              <w:left w:type="dxa" w:w="180"/>
              <w:bottom w:type="dxa" w:w="120"/>
              <w:right w:type="dxa" w:w="180"/>
            </w:tcMar>
          </w:tcPr>
          <w:p>
            <w:pPr>
              <w:spacing w:after="60"/>
            </w:pPr>
            <w:r>
              <w:rPr>
                <w:rFonts w:ascii="Arial" w:cs="Arial" w:eastAsia="Arial" w:hAnsi="Arial"/>
                <w:b/>
                <w:bCs/>
                <w:color w:val="111827"/>
                <w:sz w:val="23"/>
                <w:szCs w:val="23"/>
              </w:rPr>
              <w:t xml:space="preserve">Build an account hub for repeat B2B buyers</w:t>
            </w:r>
          </w:p>
          <w:p>
            <w:pPr>
              <w:spacing w:after="100"/>
            </w:pPr>
            <w:r>
              <w:rPr>
                <w:rFonts w:ascii="Arial" w:cs="Arial" w:eastAsia="Arial" w:hAnsi="Arial"/>
                <w:i/>
                <w:iCs/>
                <w:color w:val="6B7280"/>
                <w:sz w:val="19"/>
                <w:szCs w:val="19"/>
              </w:rPr>
              <w:t xml:space="preserve">Dev — significant  •  UX design</w:t>
            </w:r>
            <w:r>
              <w:rPr>
                <w:rFonts w:ascii="Arial" w:cs="Arial" w:eastAsia="Arial" w:hAnsi="Arial"/>
                <w:color w:val="6B7280"/>
                <w:sz w:val="18"/>
                <w:szCs w:val="18"/>
              </w:rPr>
              <w:t xml:space="preserve">  B2B  </w:t>
            </w:r>
            <w:r>
              <w:rPr>
                <w:rFonts w:ascii="Arial" w:cs="Arial" w:eastAsia="Arial" w:hAnsi="Arial"/>
                <w:color w:val="6B7280"/>
                <w:sz w:val="18"/>
                <w:szCs w:val="18"/>
              </w:rPr>
              <w:t xml:space="preserve">  Retention  </w:t>
            </w:r>
          </w:p>
          <w:p>
            <w:pPr>
              <w:spacing w:after="0"/>
            </w:pPr>
            <w:r>
              <w:rPr>
                <w:rFonts w:ascii="Arial" w:cs="Arial" w:eastAsia="Arial" w:hAnsi="Arial"/>
                <w:color w:val="111827"/>
                <w:sz w:val="20"/>
                <w:szCs w:val="20"/>
              </w:rPr>
              <w:t xml:space="preserve">39% of sessions are returning users (3,899 in 3 days). Core features: My registered equipment with one-click part lists, Order history with reorder, Saved parts lists, Invoice payment, Reorder pad for frequent consumables. Login rate of only 1.61% suggests returning users get no personalised experience today.</w:t>
            </w:r>
          </w:p>
        </w:tc>
      </w:tr>
      <w:tr>
        <w:tc>
          <w:tcPr>
            <w:tcW w:type="dxa" w:w="600"/>
            <w:tcBorders>
              <w:top w:val="single" w:color="D1D5DB" w:sz="1"/>
              <w:left w:val="single" w:color="D1D5DB" w:sz="1"/>
              <w:bottom w:val="single" w:color="D1D5DB" w:sz="1"/>
              <w:right w:val="single" w:color="D1D5DB" w:sz="1"/>
            </w:tcBorders>
            <w:shd w:fill="F3F4F6" w:val="clear"/>
            <w:tcMar>
              <w:top w:type="dxa" w:w="80"/>
              <w:left w:type="dxa" w:w="140"/>
              <w:bottom w:type="dxa" w:w="80"/>
              <w:right w:type="dxa" w:w="140"/>
            </w:tcMar>
            <w:vAlign w:val="top"/>
          </w:tcPr>
          <w:p>
            <w:pPr>
              <w:spacing w:after="0"/>
              <w:jc w:val="center"/>
            </w:pPr>
            <w:r>
              <w:rPr>
                <w:rFonts w:ascii="Arial" w:cs="Arial" w:eastAsia="Arial" w:hAnsi="Arial"/>
                <w:b/>
                <w:bCs/>
                <w:color w:val="6B7280"/>
                <w:sz w:val="24"/>
                <w:szCs w:val="24"/>
              </w:rPr>
              <w:t xml:space="preserve">16</w:t>
            </w:r>
          </w:p>
        </w:tc>
        <w:tc>
          <w:tcPr>
            <w:tcW w:type="dxa" w:w="8760"/>
            <w:tcBorders>
              <w:top w:val="single" w:color="D1D5DB" w:sz="1"/>
              <w:left w:val="single" w:color="D1D5DB" w:sz="1"/>
              <w:bottom w:val="single" w:color="D1D5DB" w:sz="1"/>
              <w:right w:val="single" w:color="D1D5DB" w:sz="1"/>
            </w:tcBorders>
            <w:tcMar>
              <w:top w:type="dxa" w:w="120"/>
              <w:left w:type="dxa" w:w="180"/>
              <w:bottom w:type="dxa" w:w="120"/>
              <w:right w:type="dxa" w:w="180"/>
            </w:tcMar>
          </w:tcPr>
          <w:p>
            <w:pPr>
              <w:spacing w:after="60"/>
            </w:pPr>
            <w:r>
              <w:rPr>
                <w:rFonts w:ascii="Arial" w:cs="Arial" w:eastAsia="Arial" w:hAnsi="Arial"/>
                <w:b/>
                <w:bCs/>
                <w:color w:val="111827"/>
                <w:sz w:val="23"/>
                <w:szCs w:val="23"/>
              </w:rPr>
              <w:t xml:space="preserve">Elevate Service from a single link to a first-class section</w:t>
            </w:r>
          </w:p>
          <w:p>
            <w:pPr>
              <w:spacing w:after="100"/>
            </w:pPr>
            <w:r>
              <w:rPr>
                <w:rFonts w:ascii="Arial" w:cs="Arial" w:eastAsia="Arial" w:hAnsi="Arial"/>
                <w:i/>
                <w:iCs/>
                <w:color w:val="6B7280"/>
                <w:sz w:val="19"/>
                <w:szCs w:val="19"/>
              </w:rPr>
              <w:t xml:space="preserve">UX + content + Dev</w:t>
            </w:r>
            <w:r>
              <w:rPr>
                <w:rFonts w:ascii="Arial" w:cs="Arial" w:eastAsia="Arial" w:hAnsi="Arial"/>
                <w:color w:val="6B7280"/>
                <w:sz w:val="18"/>
                <w:szCs w:val="18"/>
              </w:rPr>
              <w:t xml:space="preserve">  Revenue  </w:t>
            </w:r>
            <w:r>
              <w:rPr>
                <w:rFonts w:ascii="Arial" w:cs="Arial" w:eastAsia="Arial" w:hAnsi="Arial"/>
                <w:color w:val="6B7280"/>
                <w:sz w:val="18"/>
                <w:szCs w:val="18"/>
              </w:rPr>
              <w:t xml:space="preserve">  Service  </w:t>
            </w:r>
          </w:p>
          <w:p>
            <w:pPr>
              <w:spacing w:after="0"/>
            </w:pPr>
            <w:r>
              <w:rPr>
                <w:rFonts w:ascii="Arial" w:cs="Arial" w:eastAsia="Arial" w:hAnsi="Arial"/>
                <w:color w:val="111827"/>
                <w:sz w:val="20"/>
                <w:szCs w:val="20"/>
              </w:rPr>
              <w:t xml:space="preserve">Request Service is currently a flat nav link. Expand to: Repair service request, Scheduled preventive maintenance, Service plans &amp; contracts, Service area coverage. Positions service as a product customers buy, not just a contact form they click when something breaks.</w:t>
            </w:r>
          </w:p>
        </w:tc>
      </w:tr>
      <w:tr>
        <w:tc>
          <w:tcPr>
            <w:tcW w:type="dxa" w:w="600"/>
            <w:tcBorders>
              <w:top w:val="single" w:color="D1D5DB" w:sz="1"/>
              <w:left w:val="single" w:color="D1D5DB" w:sz="1"/>
              <w:bottom w:val="single" w:color="D1D5DB" w:sz="1"/>
              <w:right w:val="single" w:color="D1D5DB" w:sz="1"/>
            </w:tcBorders>
            <w:shd w:fill="DCFCE7" w:val="clear"/>
            <w:tcMar>
              <w:top w:type="dxa" w:w="80"/>
              <w:left w:type="dxa" w:w="140"/>
              <w:bottom w:type="dxa" w:w="80"/>
              <w:right w:type="dxa" w:w="140"/>
            </w:tcMar>
            <w:vAlign w:val="top"/>
          </w:tcPr>
          <w:p>
            <w:pPr>
              <w:spacing w:after="0"/>
              <w:jc w:val="center"/>
            </w:pPr>
            <w:r>
              <w:rPr>
                <w:rFonts w:ascii="Arial" w:cs="Arial" w:eastAsia="Arial" w:hAnsi="Arial"/>
                <w:b/>
                <w:bCs/>
                <w:color w:val="16A34A"/>
                <w:sz w:val="24"/>
                <w:szCs w:val="24"/>
              </w:rPr>
              <w:t xml:space="preserve">17</w:t>
            </w:r>
          </w:p>
        </w:tc>
        <w:tc>
          <w:tcPr>
            <w:tcW w:type="dxa" w:w="8760"/>
            <w:tcBorders>
              <w:top w:val="single" w:color="D1D5DB" w:sz="1"/>
              <w:left w:val="single" w:color="D1D5DB" w:sz="1"/>
              <w:bottom w:val="single" w:color="D1D5DB" w:sz="1"/>
              <w:right w:val="single" w:color="D1D5DB" w:sz="1"/>
            </w:tcBorders>
            <w:tcMar>
              <w:top w:type="dxa" w:w="120"/>
              <w:left w:type="dxa" w:w="180"/>
              <w:bottom w:type="dxa" w:w="120"/>
              <w:right w:type="dxa" w:w="180"/>
            </w:tcMar>
          </w:tcPr>
          <w:p>
            <w:pPr>
              <w:spacing w:after="60"/>
            </w:pPr>
            <w:r>
              <w:rPr>
                <w:rFonts w:ascii="Arial" w:cs="Arial" w:eastAsia="Arial" w:hAnsi="Arial"/>
                <w:b/>
                <w:bCs/>
                <w:color w:val="111827"/>
                <w:sz w:val="23"/>
                <w:szCs w:val="23"/>
              </w:rPr>
              <w:t xml:space="preserve">Run a formal card sort with maintenance techs &amp; facility buyers</w:t>
            </w:r>
          </w:p>
          <w:p>
            <w:pPr>
              <w:spacing w:after="100"/>
            </w:pPr>
            <w:r>
              <w:rPr>
                <w:rFonts w:ascii="Arial" w:cs="Arial" w:eastAsia="Arial" w:hAnsi="Arial"/>
                <w:i/>
                <w:iCs/>
                <w:color w:val="6B7280"/>
                <w:sz w:val="19"/>
                <w:szCs w:val="19"/>
              </w:rPr>
              <w:t xml:space="preserve">UX research  •  4–6 weeks</w:t>
            </w:r>
            <w:r>
              <w:rPr>
                <w:rFonts w:ascii="Arial" w:cs="Arial" w:eastAsia="Arial" w:hAnsi="Arial"/>
                <w:color w:val="6B7280"/>
                <w:sz w:val="18"/>
                <w:szCs w:val="18"/>
              </w:rPr>
              <w:t xml:space="preserve">  Research  </w:t>
            </w:r>
            <w:r>
              <w:rPr>
                <w:rFonts w:ascii="Arial" w:cs="Arial" w:eastAsia="Arial" w:hAnsi="Arial"/>
                <w:color w:val="6B7280"/>
                <w:sz w:val="18"/>
                <w:szCs w:val="18"/>
              </w:rPr>
              <w:t xml:space="preserve">  De-risk  </w:t>
            </w:r>
          </w:p>
          <w:p>
            <w:pPr>
              <w:spacing w:after="0"/>
            </w:pPr>
            <w:r>
              <w:rPr>
                <w:rFonts w:ascii="Arial" w:cs="Arial" w:eastAsia="Arial" w:hAnsi="Arial"/>
                <w:color w:val="111827"/>
                <w:sz w:val="20"/>
                <w:szCs w:val="20"/>
              </w:rPr>
              <w:t xml:space="preserve">8–12 participants (mix of maintenance technicians and purchasing managers), open sort with ~40 cards covering major product categories, then a closed sort to validate the proposed consumables vs repair parts split. Run via Maze or Optimal Workshop. Kick off in parallel with items 12–16 to validate IA direction before committing dev effort.</w:t>
            </w:r>
          </w:p>
        </w:tc>
      </w:tr>
    </w:tbl>
    <w:p>
      <w:pPr>
        <w:spacing w:after="200"/>
      </w:pPr>
    </w:p>
    <w:p>
      <w:r>
        <w:br w:type="page"/>
      </w:r>
    </w:p>
    <w:p>
      <w:pPr>
        <w:pStyle w:val="Heading1"/>
        <w:spacing w:before="360" w:after="160"/>
      </w:pPr>
      <w:r>
        <w:rPr>
          <w:rFonts w:ascii="Arial" w:cs="Arial" w:eastAsia="Arial" w:hAnsi="Arial"/>
          <w:b/>
          <w:bCs/>
          <w:color w:val="1B3A6B"/>
          <w:sz w:val="36"/>
          <w:szCs w:val="36"/>
        </w:rPr>
        <w:t xml:space="preserve">Strategic principles</w:t>
      </w:r>
    </w:p>
    <w:p>
      <w:pPr>
        <w:spacing w:after="100" w:before="0"/>
      </w:pPr>
      <w:r>
        <w:rPr>
          <w:rFonts w:ascii="Arial" w:cs="Arial" w:eastAsia="Arial" w:hAnsi="Arial"/>
          <w:color w:val="111827"/>
          <w:sz w:val="22"/>
          <w:szCs w:val="22"/>
        </w:rPr>
        <w:t xml:space="preserve">These five findings from the session data underpin every recommendation in this plan. Useful for framing the long-term IA investment with stakeholders.</w:t>
      </w:r>
    </w:p>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D1D5DB" w:sz="1"/>
              <w:left w:val="single" w:color="D1D5DB" w:sz="1"/>
              <w:bottom w:val="single" w:color="D1D5DB" w:sz="1"/>
              <w:right w:val="single" w:color="D1D5DB" w:sz="1"/>
            </w:tcBorders>
            <w:shd w:fill="F3F4F6" w:val="clear"/>
            <w:tcMar>
              <w:top w:type="dxa" w:w="160"/>
              <w:left w:type="dxa" w:w="200"/>
              <w:bottom w:type="dxa" w:w="160"/>
              <w:right w:type="dxa" w:w="200"/>
            </w:tcMar>
          </w:tcPr>
          <w:p>
            <w:pPr>
              <w:spacing w:after="60"/>
            </w:pPr>
            <w:r>
              <w:rPr>
                <w:rFonts w:ascii="Arial" w:cs="Arial" w:eastAsia="Arial" w:hAnsi="Arial"/>
                <w:b/>
                <w:bCs/>
                <w:color w:val="1B3A6B"/>
                <w:sz w:val="23"/>
                <w:szCs w:val="23"/>
              </w:rPr>
              <w:t xml:space="preserve">Search is already the navigation — design for it</w:t>
            </w:r>
          </w:p>
          <w:p>
            <w:pPr>
              <w:spacing w:after="0"/>
            </w:pPr>
            <w:r>
              <w:rPr>
                <w:rFonts w:ascii="Arial" w:cs="Arial" w:eastAsia="Arial" w:hAnsi="Arial"/>
                <w:color w:val="111827"/>
                <w:sz w:val="21"/>
                <w:szCs w:val="21"/>
              </w:rPr>
              <w:t xml:space="preserve">9.8× more sessions use search than the parts browse landing. The three-door taxonomy is a fallback browse path, not the primary interaction. The homepage and nav should reflect what users actually do: search first, browse as a secondary path.</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D1D5DB" w:sz="1"/>
              <w:left w:val="single" w:color="D1D5DB" w:sz="1"/>
              <w:bottom w:val="single" w:color="D1D5DB" w:sz="1"/>
              <w:right w:val="single" w:color="D1D5DB" w:sz="1"/>
            </w:tcBorders>
            <w:shd w:fill="F3F4F6" w:val="clear"/>
            <w:tcMar>
              <w:top w:type="dxa" w:w="160"/>
              <w:left w:type="dxa" w:w="200"/>
              <w:bottom w:type="dxa" w:w="160"/>
              <w:right w:type="dxa" w:w="200"/>
            </w:tcMar>
          </w:tcPr>
          <w:p>
            <w:pPr>
              <w:spacing w:after="60"/>
            </w:pPr>
            <w:r>
              <w:rPr>
                <w:rFonts w:ascii="Arial" w:cs="Arial" w:eastAsia="Arial" w:hAnsi="Arial"/>
                <w:b/>
                <w:bCs/>
                <w:color w:val="1B3A6B"/>
                <w:sz w:val="23"/>
                <w:szCs w:val="23"/>
              </w:rPr>
              <w:t xml:space="preserve">Users think in machines, not taxonomies</w:t>
            </w:r>
          </w:p>
          <w:p>
            <w:pPr>
              <w:spacing w:after="0"/>
            </w:pPr>
            <w:r>
              <w:rPr>
                <w:rFonts w:ascii="Arial" w:cs="Arial" w:eastAsia="Arial" w:hAnsi="Arial"/>
                <w:color w:val="111827"/>
                <w:sz w:val="21"/>
                <w:szCs w:val="21"/>
              </w:rPr>
              <w:t xml:space="preserve">Every organic browse session goes brand → model — never category or equipment type first. Maintenance techs have a specific machine with a specific problem. The IA should meet them there: 'I have a Tennant T5' is the starting point, not 'I need a vacuum motor.'</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D1D5DB" w:sz="1"/>
              <w:left w:val="single" w:color="D1D5DB" w:sz="1"/>
              <w:bottom w:val="single" w:color="D1D5DB" w:sz="1"/>
              <w:right w:val="single" w:color="D1D5DB" w:sz="1"/>
            </w:tcBorders>
            <w:shd w:fill="F3F4F6" w:val="clear"/>
            <w:tcMar>
              <w:top w:type="dxa" w:w="160"/>
              <w:left w:type="dxa" w:w="200"/>
              <w:bottom w:type="dxa" w:w="160"/>
              <w:right w:type="dxa" w:w="200"/>
            </w:tcMar>
          </w:tcPr>
          <w:p>
            <w:pPr>
              <w:spacing w:after="60"/>
            </w:pPr>
            <w:r>
              <w:rPr>
                <w:rFonts w:ascii="Arial" w:cs="Arial" w:eastAsia="Arial" w:hAnsi="Arial"/>
                <w:b/>
                <w:bCs/>
                <w:color w:val="1B3A6B"/>
                <w:sz w:val="23"/>
                <w:szCs w:val="23"/>
              </w:rPr>
              <w:t xml:space="preserve">Two different buyers, two different jobs</w:t>
            </w:r>
          </w:p>
          <w:p>
            <w:pPr>
              <w:spacing w:after="0"/>
            </w:pPr>
            <w:r>
              <w:rPr>
                <w:rFonts w:ascii="Arial" w:cs="Arial" w:eastAsia="Arial" w:hAnsi="Arial"/>
                <w:color w:val="111827"/>
                <w:sz w:val="21"/>
                <w:szCs w:val="21"/>
              </w:rPr>
              <w:t xml:space="preserve">Consumables (bags, filters, pads, chemicals) are purchased on schedules by purchasing managers. Repair parts (motors, boards, belts) are purchased urgently by technicians after failures. Merging them in a single taxonomy imposes cognitive load on both audiences.</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D1D5DB" w:sz="1"/>
              <w:left w:val="single" w:color="D1D5DB" w:sz="1"/>
              <w:bottom w:val="single" w:color="D1D5DB" w:sz="1"/>
              <w:right w:val="single" w:color="D1D5DB" w:sz="1"/>
            </w:tcBorders>
            <w:shd w:fill="F3F4F6" w:val="clear"/>
            <w:tcMar>
              <w:top w:type="dxa" w:w="160"/>
              <w:left w:type="dxa" w:w="200"/>
              <w:bottom w:type="dxa" w:w="160"/>
              <w:right w:type="dxa" w:w="200"/>
            </w:tcMar>
          </w:tcPr>
          <w:p>
            <w:pPr>
              <w:spacing w:after="60"/>
            </w:pPr>
            <w:r>
              <w:rPr>
                <w:rFonts w:ascii="Arial" w:cs="Arial" w:eastAsia="Arial" w:hAnsi="Arial"/>
                <w:b/>
                <w:bCs/>
                <w:color w:val="1B3A6B"/>
                <w:sz w:val="23"/>
                <w:szCs w:val="23"/>
              </w:rPr>
              <w:t xml:space="preserve">39% of sessions are returning buyers with no retention IA</w:t>
            </w:r>
          </w:p>
          <w:p>
            <w:pPr>
              <w:spacing w:after="0"/>
            </w:pPr>
            <w:r>
              <w:rPr>
                <w:rFonts w:ascii="Arial" w:cs="Arial" w:eastAsia="Arial" w:hAnsi="Arial"/>
                <w:color w:val="111827"/>
                <w:sz w:val="21"/>
                <w:szCs w:val="21"/>
              </w:rPr>
              <w:t xml:space="preserve">Nearly 4,000 sessions in 3 days from returning users — with only 1.61% logging in. These users are navigating from scratch every visit, re-finding the same products for the same machines. An account hub with registered equipment and one-click reorder is the highest-leverage retention feature on the roadmap.</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D1D5DB" w:sz="1"/>
              <w:left w:val="single" w:color="D1D5DB" w:sz="1"/>
              <w:bottom w:val="single" w:color="D1D5DB" w:sz="1"/>
              <w:right w:val="single" w:color="D1D5DB" w:sz="1"/>
            </w:tcBorders>
            <w:shd w:fill="F3F4F6" w:val="clear"/>
            <w:tcMar>
              <w:top w:type="dxa" w:w="160"/>
              <w:left w:type="dxa" w:w="200"/>
              <w:bottom w:type="dxa" w:w="160"/>
              <w:right w:type="dxa" w:w="200"/>
            </w:tcMar>
          </w:tcPr>
          <w:p>
            <w:pPr>
              <w:spacing w:after="60"/>
            </w:pPr>
            <w:r>
              <w:rPr>
                <w:rFonts w:ascii="Arial" w:cs="Arial" w:eastAsia="Arial" w:hAnsi="Arial"/>
                <w:b/>
                <w:bCs/>
                <w:color w:val="1B3A6B"/>
                <w:sz w:val="23"/>
                <w:szCs w:val="23"/>
              </w:rPr>
              <w:t xml:space="preserve">Quick back clicks are a taxonomy signal, not a search signal</w:t>
            </w:r>
          </w:p>
          <w:p>
            <w:pPr>
              <w:spacing w:after="0"/>
            </w:pPr>
            <w:r>
              <w:rPr>
                <w:rFonts w:ascii="Arial" w:cs="Arial" w:eastAsia="Arial" w:hAnsi="Arial"/>
                <w:color w:val="111827"/>
                <w:sz w:val="21"/>
                <w:szCs w:val="21"/>
              </w:rPr>
              <w:t xml:space="preserve">25.6% quick back rate. Clarity filter investigation confirmed this is not a search failure — virtually no Google traffic lands directly on /search. It’s users picking a browse path, landing somewhere that doesn’t match their mental model, and retreating. Fixing the nav structure addresses the root cause.</w:t>
            </w:r>
          </w:p>
        </w:tc>
      </w:tr>
    </w:tbl>
    <w:p>
      <w:pPr>
        <w:spacing w:after="120"/>
      </w:pPr>
    </w:p>
    <w:p>
      <w:pPr>
        <w:spacing w:after="200"/>
      </w:pPr>
    </w:p>
    <w:p>
      <w:r>
        <w:br w:type="page"/>
      </w:r>
    </w:p>
    <w:p>
      <w:pPr>
        <w:pStyle w:val="Heading1"/>
        <w:spacing w:before="360" w:after="160"/>
      </w:pPr>
      <w:r>
        <w:rPr>
          <w:rFonts w:ascii="Arial" w:cs="Arial" w:eastAsia="Arial" w:hAnsi="Arial"/>
          <w:b/>
          <w:bCs/>
          <w:color w:val="1B3A6B"/>
          <w:sz w:val="36"/>
          <w:szCs w:val="36"/>
        </w:rPr>
        <w:t xml:space="preserve">Appendix: data sources &amp; methodology</w:t>
      </w:r>
    </w:p>
    <w:p>
      <w:pPr>
        <w:pStyle w:val="Heading2"/>
        <w:spacing w:before="280" w:after="120"/>
      </w:pPr>
      <w:r>
        <w:rPr>
          <w:rFonts w:ascii="Arial" w:cs="Arial" w:eastAsia="Arial" w:hAnsi="Arial"/>
          <w:b/>
          <w:bCs/>
          <w:color w:val="1B3A6B"/>
          <w:sz w:val="28"/>
          <w:szCs w:val="28"/>
        </w:rPr>
        <w:t xml:space="preserve">Session data</w:t>
      </w:r>
    </w:p>
    <w:p>
      <w:pPr>
        <w:pStyle w:val="ListParagraph"/>
        <w:numPr>
          <w:ilvl w:val="0"/>
          <w:numId w:val="2"/>
        </w:numPr>
        <w:spacing w:after="80"/>
      </w:pPr>
      <w:r>
        <w:rPr>
          <w:rFonts w:ascii="Arial" w:cs="Arial" w:eastAsia="Arial" w:hAnsi="Arial"/>
          <w:b w:val="false"/>
          <w:bCs w:val="false"/>
          <w:color w:val="111827"/>
          <w:sz w:val="22"/>
          <w:szCs w:val="22"/>
        </w:rPr>
        <w:t xml:space="preserve">Source: Microsoft Clarity dashboard export, Mar 16–18 2026</w:t>
      </w:r>
    </w:p>
    <w:p>
      <w:pPr>
        <w:pStyle w:val="ListParagraph"/>
        <w:numPr>
          <w:ilvl w:val="0"/>
          <w:numId w:val="2"/>
        </w:numPr>
        <w:spacing w:after="80"/>
      </w:pPr>
      <w:r>
        <w:rPr>
          <w:rFonts w:ascii="Arial" w:cs="Arial" w:eastAsia="Arial" w:hAnsi="Arial"/>
          <w:b w:val="false"/>
          <w:bCs w:val="false"/>
          <w:color w:val="111827"/>
          <w:sz w:val="22"/>
          <w:szCs w:val="22"/>
        </w:rPr>
        <w:t xml:space="preserve">10,030 total sessions, 7,014 unique users</w:t>
      </w:r>
    </w:p>
    <w:p>
      <w:pPr>
        <w:pStyle w:val="ListParagraph"/>
        <w:numPr>
          <w:ilvl w:val="0"/>
          <w:numId w:val="2"/>
        </w:numPr>
        <w:spacing w:after="80"/>
      </w:pPr>
      <w:r>
        <w:rPr>
          <w:rFonts w:ascii="Arial" w:cs="Arial" w:eastAsia="Arial" w:hAnsi="Arial"/>
          <w:b w:val="false"/>
          <w:bCs w:val="false"/>
          <w:color w:val="111827"/>
          <w:sz w:val="22"/>
          <w:szCs w:val="22"/>
        </w:rPr>
        <w:t xml:space="preserve">Bot sessions excluded from analysis (12,610 bot sessions noted in export)</w:t>
      </w:r>
    </w:p>
    <w:p>
      <w:pPr>
        <w:pStyle w:val="ListParagraph"/>
        <w:numPr>
          <w:ilvl w:val="0"/>
          <w:numId w:val="2"/>
        </w:numPr>
        <w:spacing w:after="80"/>
      </w:pPr>
      <w:r>
        <w:rPr>
          <w:rFonts w:ascii="Arial" w:cs="Arial" w:eastAsia="Arial" w:hAnsi="Arial"/>
          <w:b w:val="false"/>
          <w:bCs w:val="false"/>
          <w:color w:val="111827"/>
          <w:sz w:val="22"/>
          <w:szCs w:val="22"/>
        </w:rPr>
        <w:t xml:space="preserve">Metrics represent aggregated telemetry across all sessions, not a sampled recording subset</w:t>
      </w:r>
    </w:p>
    <w:p>
      <w:pPr>
        <w:spacing w:after="120"/>
      </w:pPr>
    </w:p>
    <w:p>
      <w:pPr>
        <w:pStyle w:val="Heading2"/>
        <w:spacing w:before="280" w:after="120"/>
      </w:pPr>
      <w:r>
        <w:rPr>
          <w:rFonts w:ascii="Arial" w:cs="Arial" w:eastAsia="Arial" w:hAnsi="Arial"/>
          <w:b/>
          <w:bCs/>
          <w:color w:val="1B3A6B"/>
          <w:sz w:val="28"/>
          <w:szCs w:val="28"/>
        </w:rPr>
        <w:t xml:space="preserve">Live site audit</w:t>
      </w:r>
    </w:p>
    <w:p>
      <w:pPr>
        <w:pStyle w:val="ListParagraph"/>
        <w:numPr>
          <w:ilvl w:val="0"/>
          <w:numId w:val="2"/>
        </w:numPr>
        <w:spacing w:after="80"/>
      </w:pPr>
      <w:r>
        <w:rPr>
          <w:rFonts w:ascii="Arial" w:cs="Arial" w:eastAsia="Arial" w:hAnsi="Arial"/>
          <w:b w:val="false"/>
          <w:bCs w:val="false"/>
          <w:color w:val="111827"/>
          <w:sz w:val="22"/>
          <w:szCs w:val="22"/>
        </w:rPr>
        <w:t xml:space="preserve">Site crawl of shop.usaclean.com nav structure and URL hierarchy</w:t>
      </w:r>
    </w:p>
    <w:p>
      <w:pPr>
        <w:pStyle w:val="ListParagraph"/>
        <w:numPr>
          <w:ilvl w:val="0"/>
          <w:numId w:val="2"/>
        </w:numPr>
        <w:spacing w:after="80"/>
      </w:pPr>
      <w:r>
        <w:rPr>
          <w:rFonts w:ascii="Arial" w:cs="Arial" w:eastAsia="Arial" w:hAnsi="Arial"/>
          <w:b w:val="false"/>
          <w:bCs w:val="false"/>
          <w:color w:val="111827"/>
          <w:sz w:val="22"/>
          <w:szCs w:val="22"/>
        </w:rPr>
        <w:t xml:space="preserve">Live JavaScript inspection of Hawksearch Handlebars UI integration</w:t>
      </w:r>
    </w:p>
    <w:p>
      <w:pPr>
        <w:pStyle w:val="ListParagraph"/>
        <w:numPr>
          <w:ilvl w:val="0"/>
          <w:numId w:val="2"/>
        </w:numPr>
        <w:spacing w:after="80"/>
      </w:pPr>
      <w:r>
        <w:rPr>
          <w:rFonts w:ascii="Arial" w:cs="Arial" w:eastAsia="Arial" w:hAnsi="Arial"/>
          <w:b w:val="false"/>
          <w:bCs w:val="false"/>
          <w:color w:val="111827"/>
          <w:sz w:val="22"/>
          <w:szCs w:val="22"/>
        </w:rPr>
        <w:t xml:space="preserve">Confirmed Hawksearch library version: @bridgeline-digital/hawksearch-handlebars-ui (jsdelivr CDN)</w:t>
      </w:r>
    </w:p>
    <w:p>
      <w:pPr>
        <w:pStyle w:val="ListParagraph"/>
        <w:numPr>
          <w:ilvl w:val="0"/>
          <w:numId w:val="2"/>
        </w:numPr>
        <w:spacing w:after="80"/>
      </w:pPr>
      <w:r>
        <w:rPr>
          <w:rFonts w:ascii="Arial" w:cs="Arial" w:eastAsia="Arial" w:hAnsi="Arial"/>
          <w:b w:val="false"/>
          <w:bCs w:val="false"/>
          <w:color w:val="111827"/>
          <w:sz w:val="22"/>
          <w:szCs w:val="22"/>
        </w:rPr>
        <w:t xml:space="preserve">Network request analysis confirming Hawk API response behaviour on /search cold load</w:t>
      </w:r>
    </w:p>
    <w:p>
      <w:pPr>
        <w:pStyle w:val="ListParagraph"/>
        <w:numPr>
          <w:ilvl w:val="0"/>
          <w:numId w:val="2"/>
        </w:numPr>
        <w:spacing w:after="80"/>
      </w:pPr>
      <w:r>
        <w:rPr>
          <w:rFonts w:ascii="Arial" w:cs="Arial" w:eastAsia="Arial" w:hAnsi="Arial"/>
          <w:b w:val="false"/>
          <w:bCs w:val="false"/>
          <w:color w:val="111827"/>
          <w:sz w:val="22"/>
          <w:szCs w:val="22"/>
        </w:rPr>
        <w:t xml:space="preserve">Shadow DOM inspection of hawksearch-search-results web component</w:t>
      </w:r>
    </w:p>
    <w:p>
      <w:pPr>
        <w:spacing w:after="120"/>
      </w:pPr>
    </w:p>
    <w:p>
      <w:pPr>
        <w:pStyle w:val="Heading2"/>
        <w:spacing w:before="280" w:after="120"/>
      </w:pPr>
      <w:r>
        <w:rPr>
          <w:rFonts w:ascii="Arial" w:cs="Arial" w:eastAsia="Arial" w:hAnsi="Arial"/>
          <w:b/>
          <w:bCs/>
          <w:color w:val="1B3A6B"/>
          <w:sz w:val="28"/>
          <w:szCs w:val="28"/>
        </w:rPr>
        <w:t xml:space="preserve">Clarity filter investigation</w:t>
      </w:r>
    </w:p>
    <w:p>
      <w:pPr>
        <w:pStyle w:val="ListParagraph"/>
        <w:numPr>
          <w:ilvl w:val="0"/>
          <w:numId w:val="2"/>
        </w:numPr>
        <w:spacing w:after="80"/>
      </w:pPr>
      <w:r>
        <w:rPr>
          <w:rFonts w:ascii="Arial" w:cs="Arial" w:eastAsia="Arial" w:hAnsi="Arial"/>
          <w:b w:val="false"/>
          <w:bCs w:val="false"/>
          <w:color w:val="111827"/>
          <w:sz w:val="22"/>
          <w:szCs w:val="22"/>
        </w:rPr>
        <w:t xml:space="preserve">Confirmed via Clarity Dashboard segment filters that referrer + /search + quick back = 0 sessions</w:t>
      </w:r>
    </w:p>
    <w:p>
      <w:pPr>
        <w:pStyle w:val="ListParagraph"/>
        <w:numPr>
          <w:ilvl w:val="0"/>
          <w:numId w:val="2"/>
        </w:numPr>
        <w:spacing w:after="80"/>
      </w:pPr>
      <w:r>
        <w:rPr>
          <w:rFonts w:ascii="Arial" w:cs="Arial" w:eastAsia="Arial" w:hAnsi="Arial"/>
          <w:b w:val="false"/>
          <w:bCs w:val="false"/>
          <w:color w:val="111827"/>
          <w:sz w:val="22"/>
          <w:szCs w:val="22"/>
        </w:rPr>
        <w:t xml:space="preserve">Conclusion: Google traffic does not land directly on /search as an entry page</w:t>
      </w:r>
    </w:p>
    <w:p>
      <w:pPr>
        <w:pStyle w:val="ListParagraph"/>
        <w:numPr>
          <w:ilvl w:val="0"/>
          <w:numId w:val="2"/>
        </w:numPr>
        <w:spacing w:after="80"/>
      </w:pPr>
      <w:r>
        <w:rPr>
          <w:rFonts w:ascii="Arial" w:cs="Arial" w:eastAsia="Arial" w:hAnsi="Arial"/>
          <w:b w:val="false"/>
          <w:bCs w:val="false"/>
          <w:color w:val="111827"/>
          <w:sz w:val="22"/>
          <w:szCs w:val="22"/>
        </w:rPr>
        <w:t xml:space="preserve">Implies the searchRequest race condition has limited real-world UX impact vs. the nav taxonomy problem</w:t>
      </w:r>
    </w:p>
    <w:p>
      <w:pPr>
        <w:spacing w:after="120"/>
      </w:pPr>
    </w:p>
    <w:p>
      <w:pPr>
        <w:pStyle w:val="Heading2"/>
        <w:spacing w:before="280" w:after="120"/>
      </w:pPr>
      <w:r>
        <w:rPr>
          <w:rFonts w:ascii="Arial" w:cs="Arial" w:eastAsia="Arial" w:hAnsi="Arial"/>
          <w:b/>
          <w:bCs/>
          <w:color w:val="1B3A6B"/>
          <w:sz w:val="28"/>
          <w:szCs w:val="28"/>
        </w:rPr>
        <w:t xml:space="preserve">Limitations</w:t>
      </w:r>
    </w:p>
    <w:p>
      <w:pPr>
        <w:pStyle w:val="ListParagraph"/>
        <w:numPr>
          <w:ilvl w:val="0"/>
          <w:numId w:val="2"/>
        </w:numPr>
        <w:spacing w:after="80"/>
      </w:pPr>
      <w:r>
        <w:rPr>
          <w:rFonts w:ascii="Arial" w:cs="Arial" w:eastAsia="Arial" w:hAnsi="Arial"/>
          <w:b w:val="false"/>
          <w:bCs w:val="false"/>
          <w:color w:val="111827"/>
          <w:sz w:val="22"/>
          <w:szCs w:val="22"/>
        </w:rPr>
        <w:t xml:space="preserve">Clarity CSV is a 3-day window — sufficient for directional conclusions but not for seasonal trend analysis</w:t>
      </w:r>
    </w:p>
    <w:p>
      <w:pPr>
        <w:pStyle w:val="ListParagraph"/>
        <w:numPr>
          <w:ilvl w:val="0"/>
          <w:numId w:val="2"/>
        </w:numPr>
        <w:spacing w:after="80"/>
      </w:pPr>
      <w:r>
        <w:rPr>
          <w:rFonts w:ascii="Arial" w:cs="Arial" w:eastAsia="Arial" w:hAnsi="Arial"/>
          <w:b w:val="false"/>
          <w:bCs w:val="false"/>
          <w:color w:val="111827"/>
          <w:sz w:val="22"/>
          <w:szCs w:val="22"/>
        </w:rPr>
        <w:t xml:space="preserve">Session recording sampling rate limits cross-tabulation of dimensions in the Recordings filter</w:t>
      </w:r>
    </w:p>
    <w:p>
      <w:pPr>
        <w:pStyle w:val="ListParagraph"/>
        <w:numPr>
          <w:ilvl w:val="0"/>
          <w:numId w:val="2"/>
        </w:numPr>
        <w:spacing w:after="80"/>
      </w:pPr>
      <w:r>
        <w:rPr>
          <w:rFonts w:ascii="Arial" w:cs="Arial" w:eastAsia="Arial" w:hAnsi="Arial"/>
          <w:b w:val="false"/>
          <w:bCs w:val="false"/>
          <w:color w:val="111827"/>
          <w:sz w:val="22"/>
          <w:szCs w:val="22"/>
        </w:rPr>
        <w:t xml:space="preserve">No A/B test data available; recommendations are based on behavioural signals and structural analysis</w:t>
      </w:r>
    </w:p>
    <w:p>
      <w:pPr>
        <w:pStyle w:val="ListParagraph"/>
        <w:numPr>
          <w:ilvl w:val="0"/>
          <w:numId w:val="2"/>
        </w:numPr>
        <w:spacing w:after="80"/>
      </w:pPr>
      <w:r>
        <w:rPr>
          <w:rFonts w:ascii="Arial" w:cs="Arial" w:eastAsia="Arial" w:hAnsi="Arial"/>
          <w:b w:val="false"/>
          <w:bCs w:val="false"/>
          <w:color w:val="111827"/>
          <w:sz w:val="22"/>
          <w:szCs w:val="22"/>
        </w:rPr>
        <w:t xml:space="preserve">Card sort research (item 17) recommended before committing to long-term IA restructure</w:t>
      </w:r>
    </w:p>
    <w:p>
      <w:pPr>
        <w:spacing w:after="300"/>
      </w:pPr>
    </w:p>
    <w:p>
      <w:pPr>
        <w:spacing w:after="0"/>
        <w:jc w:val="center"/>
      </w:pPr>
      <w:r>
        <w:rPr>
          <w:rFonts w:ascii="Arial" w:cs="Arial" w:eastAsia="Arial" w:hAnsi="Arial"/>
          <w:color w:val="6B7280"/>
          <w:sz w:val="18"/>
          <w:szCs w:val="18"/>
        </w:rPr>
        <w:t xml:space="preserve">USA Clean Site IA &amp; Search Plan  —  March 2026  —  Confidential</w:t>
      </w:r>
    </w:p>
    <w:sectPr>
      <w:headerReference w:type="default" r:id="rId6"/>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E7EB" w:sz="4" w:space="1"/>
      </w:pBdr>
      <w:tabs>
        <w:tab w:val="right" w:pos="9026"/>
      </w:tabs>
      <w:spacing w:after="0"/>
    </w:pPr>
    <w:r>
      <w:rPr>
        <w:rFonts w:ascii="Arial" w:cs="Arial" w:eastAsia="Arial" w:hAnsi="Arial"/>
        <w:color w:val="6B7280"/>
        <w:sz w:val="18"/>
        <w:szCs w:val="18"/>
      </w:rPr>
      <w:t xml:space="preserve">March 2026</w:t>
    </w:r>
    <w:r>
      <w:rPr>
        <w:rFonts w:ascii="Arial" w:cs="Arial" w:eastAsia="Arial" w:hAnsi="Arial"/>
        <w:color w:val="6B7280"/>
        <w:sz w:val="18"/>
        <w:szCs w:val="18"/>
      </w:rPr>
      <w:t xml:space="preserve">	Page </w:t>
    </w:r>
    <w:r>
      <w:rPr>
        <w:rFonts w:ascii="Arial" w:cs="Arial" w:eastAsia="Arial" w:hAnsi="Arial"/>
        <w:color w:val="6B7280"/>
        <w:sz w:val="18"/>
        <w:szCs w:val="18"/>
      </w:rPr>
      <w:pgNum/>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3A6B" w:sz="4" w:space="1"/>
      </w:pBdr>
      <w:spacing w:after="0"/>
    </w:pPr>
    <w:r>
      <w:rPr>
        <w:rFonts w:ascii="Arial" w:cs="Arial" w:eastAsia="Arial" w:hAnsi="Arial"/>
        <w:color w:val="6B7280"/>
        <w:sz w:val="18"/>
        <w:szCs w:val="18"/>
      </w:rPr>
      <w:t xml:space="preserve">USA Clean  |  IA &amp; Search Roadmap</w:t>
    </w:r>
    <w:r>
      <w:rPr>
        <w:rFonts w:ascii="Arial" w:cs="Arial" w:eastAsia="Arial" w:hAnsi="Arial"/>
        <w:color w:val="F3F4F6"/>
        <w:sz w:val="18"/>
        <w:szCs w:val="18"/>
      </w:rPr>
      <w:t xml:space="preserve">  —  Confidential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300"/>
      </w:pPr>
    </w:lvl>
  </w:abstractNum>
  <w:abstractNum w:abstractNumId="3" w15:restartNumberingAfterBreak="0">
    <w:multiLevelType w:val="hybridMultilevel"/>
    <w:lvl w:ilvl="0" w15:tentative="1">
      <w:start w:val="1"/>
      <w:numFmt w:val="bullet"/>
      <w:lvlText w:val="–"/>
      <w:lvlJc w:val="left"/>
      <w:pPr>
        <w:ind w:left="960" w:hanging="3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360" w:after="160"/>
      <w:outlineLvl w:val="0"/>
    </w:pPr>
    <w:rPr>
      <w:rFonts w:ascii="Arial" w:cs="Arial" w:eastAsia="Arial" w:hAnsi="Arial"/>
      <w:b/>
      <w:bCs/>
      <w:color w:val="1B3A6B"/>
      <w:sz w:val="36"/>
      <w:szCs w:val="36"/>
    </w:rPr>
  </w:style>
  <w:style w:type="paragraph" w:styleId="Heading2">
    <w:name w:val="Heading 2"/>
    <w:basedOn w:val="Normal"/>
    <w:next w:val="Normal"/>
    <w:qFormat/>
    <w:pPr>
      <w:spacing w:before="280" w:after="120"/>
      <w:outlineLvl w:val="1"/>
    </w:pPr>
    <w:rPr>
      <w:rFonts w:ascii="Arial" w:cs="Arial" w:eastAsia="Arial" w:hAnsi="Arial"/>
      <w:b/>
      <w:bCs/>
      <w:color w:val="1B3A6B"/>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2026-03-18T14:19:32.863Z</dcterms:created>
  <dcterms:modified xsi:type="dcterms:W3CDTF">2026-03-18T14:19:32.864Z</dcterms:modified>
</cp:coreProperties>
</file>

<file path=docProps/custom.xml><?xml version="1.0" encoding="utf-8"?>
<Properties xmlns="http://schemas.openxmlformats.org/officeDocument/2006/custom-properties" xmlns:vt="http://schemas.openxmlformats.org/officeDocument/2006/docPropsVTypes"/>
</file>